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宋体" w:eastAsia="等线" w:cs="Times New Roman"/>
        </w:rPr>
      </w:pPr>
      <w:r>
        <w:rPr>
          <w:rFonts w:hint="eastAsia" w:ascii="宋体" w:hAnsi="宋体" w:eastAsia="宋体" w:cs="Times New Roman"/>
          <w:b/>
          <w:color w:val="FF0000"/>
          <w:sz w:val="28"/>
          <w:szCs w:val="28"/>
        </w:rPr>
        <w:t xml:space="preserve">重要资料 </w:t>
      </w:r>
      <w:r>
        <w:rPr>
          <w:rFonts w:ascii="宋体" w:hAnsi="宋体" w:eastAsia="宋体" w:cs="Times New Roman"/>
          <w:b/>
          <w:color w:val="FF0000"/>
          <w:sz w:val="28"/>
          <w:szCs w:val="28"/>
        </w:rPr>
        <w:t xml:space="preserve"> </w:t>
      </w:r>
      <w:r>
        <w:rPr>
          <w:rFonts w:hint="eastAsia" w:ascii="宋体" w:hAnsi="宋体" w:eastAsia="宋体" w:cs="Times New Roman"/>
          <w:b/>
          <w:color w:val="FF0000"/>
          <w:sz w:val="28"/>
          <w:szCs w:val="28"/>
        </w:rPr>
        <w:t>注意保密</w:t>
      </w:r>
      <w:bookmarkStart w:id="29" w:name="_GoBack"/>
      <w:bookmarkEnd w:id="29"/>
    </w:p>
    <w:p>
      <w:pPr>
        <w:rPr>
          <w:rFonts w:ascii="宋体" w:hAnsi="宋体" w:eastAsia="等线" w:cs="Times New Roman"/>
        </w:rPr>
      </w:pPr>
    </w:p>
    <w:p>
      <w:pPr>
        <w:rPr>
          <w:rFonts w:ascii="宋体" w:hAnsi="宋体" w:eastAsia="等线" w:cs="Times New Roman"/>
        </w:rPr>
      </w:pPr>
    </w:p>
    <w:p>
      <w:pPr>
        <w:rPr>
          <w:rFonts w:ascii="宋体" w:hAnsi="宋体" w:eastAsia="等线" w:cs="Times New Roman"/>
        </w:rPr>
      </w:pPr>
    </w:p>
    <w:p>
      <w:pPr>
        <w:jc w:val="center"/>
        <w:rPr>
          <w:rFonts w:ascii="宋体" w:hAnsi="宋体" w:eastAsia="方正小标宋简体" w:cs="Times New Roman"/>
          <w:bCs/>
          <w:sz w:val="56"/>
          <w:szCs w:val="56"/>
        </w:rPr>
      </w:pPr>
      <w:r>
        <w:rPr>
          <w:rFonts w:hint="eastAsia" w:ascii="宋体" w:hAnsi="宋体" w:eastAsia="方正小标宋简体" w:cs="Times New Roman"/>
          <w:bCs/>
          <w:sz w:val="44"/>
          <w:szCs w:val="44"/>
        </w:rPr>
        <w:t>景洪市城镇土地使用税调整税额标准</w:t>
      </w:r>
    </w:p>
    <w:p>
      <w:pPr>
        <w:jc w:val="center"/>
        <w:rPr>
          <w:rFonts w:ascii="宋体" w:hAnsi="宋体" w:eastAsia="方正小标宋简体" w:cs="Times New Roman"/>
          <w:bCs/>
          <w:sz w:val="56"/>
          <w:szCs w:val="56"/>
        </w:rPr>
      </w:pPr>
    </w:p>
    <w:p>
      <w:pPr>
        <w:jc w:val="center"/>
        <w:rPr>
          <w:rFonts w:ascii="宋体" w:hAnsi="宋体" w:eastAsia="方正小标宋简体" w:cs="Times New Roman"/>
          <w:bCs/>
          <w:sz w:val="72"/>
          <w:szCs w:val="72"/>
        </w:rPr>
      </w:pPr>
      <w:r>
        <w:rPr>
          <w:rFonts w:hint="eastAsia" w:ascii="宋体" w:hAnsi="宋体" w:eastAsia="方正小标宋简体" w:cs="Times New Roman"/>
          <w:bCs/>
          <w:sz w:val="72"/>
          <w:szCs w:val="72"/>
        </w:rPr>
        <w:t>草案</w:t>
      </w:r>
    </w:p>
    <w:p>
      <w:pPr>
        <w:rPr>
          <w:rFonts w:ascii="宋体" w:hAnsi="宋体" w:eastAsia="方正小标宋简体" w:cs="Times New Roman"/>
          <w:bCs/>
        </w:rPr>
      </w:pPr>
    </w:p>
    <w:p>
      <w:pPr>
        <w:rPr>
          <w:rFonts w:ascii="宋体" w:hAnsi="宋体" w:eastAsia="方正小标宋简体" w:cs="Times New Roman"/>
          <w:bCs/>
        </w:rPr>
      </w:pPr>
    </w:p>
    <w:p>
      <w:pPr>
        <w:rPr>
          <w:rFonts w:ascii="宋体" w:hAnsi="宋体" w:eastAsia="方正小标宋简体" w:cs="Times New Roman"/>
          <w:bCs/>
        </w:rPr>
      </w:pPr>
    </w:p>
    <w:p>
      <w:pPr>
        <w:rPr>
          <w:rFonts w:ascii="宋体" w:hAnsi="宋体" w:eastAsia="方正小标宋简体" w:cs="Times New Roman"/>
          <w:bCs/>
        </w:rPr>
      </w:pPr>
    </w:p>
    <w:p>
      <w:pPr>
        <w:rPr>
          <w:rFonts w:ascii="宋体" w:hAnsi="宋体" w:eastAsia="方正小标宋简体" w:cs="Times New Roman"/>
          <w:bCs/>
        </w:rPr>
      </w:pPr>
    </w:p>
    <w:p>
      <w:pPr>
        <w:rPr>
          <w:rFonts w:ascii="宋体" w:hAnsi="宋体" w:eastAsia="方正小标宋简体" w:cs="Times New Roman"/>
          <w:bCs/>
        </w:rPr>
      </w:pPr>
    </w:p>
    <w:p>
      <w:pPr>
        <w:rPr>
          <w:rFonts w:ascii="宋体" w:hAnsi="宋体" w:eastAsia="方正小标宋简体" w:cs="Times New Roman"/>
          <w:bCs/>
        </w:rPr>
      </w:pPr>
    </w:p>
    <w:p>
      <w:pPr>
        <w:jc w:val="center"/>
        <w:rPr>
          <w:rFonts w:ascii="宋体" w:hAnsi="宋体" w:eastAsia="方正小标宋简体" w:cs="Times New Roman"/>
          <w:bCs/>
          <w:sz w:val="32"/>
          <w:szCs w:val="32"/>
        </w:rPr>
      </w:pPr>
    </w:p>
    <w:p>
      <w:pPr>
        <w:jc w:val="center"/>
        <w:rPr>
          <w:rFonts w:ascii="宋体" w:hAnsi="宋体" w:eastAsia="方正小标宋简体" w:cs="Times New Roman"/>
          <w:bCs/>
          <w:sz w:val="32"/>
          <w:szCs w:val="32"/>
        </w:rPr>
      </w:pPr>
    </w:p>
    <w:p>
      <w:pPr>
        <w:jc w:val="center"/>
        <w:rPr>
          <w:rFonts w:ascii="宋体" w:hAnsi="宋体" w:eastAsia="方正小标宋简体" w:cs="Times New Roman"/>
          <w:bCs/>
          <w:sz w:val="32"/>
          <w:szCs w:val="32"/>
        </w:rPr>
      </w:pPr>
    </w:p>
    <w:p>
      <w:pPr>
        <w:jc w:val="center"/>
        <w:rPr>
          <w:rFonts w:ascii="宋体" w:hAnsi="宋体" w:eastAsia="方正小标宋简体" w:cs="Times New Roman"/>
          <w:bCs/>
          <w:sz w:val="32"/>
          <w:szCs w:val="32"/>
        </w:rPr>
      </w:pPr>
    </w:p>
    <w:p>
      <w:pPr>
        <w:jc w:val="center"/>
        <w:rPr>
          <w:rFonts w:hint="eastAsia" w:ascii="宋体" w:hAnsi="宋体" w:eastAsia="方正小标宋简体" w:cs="Times New Roman"/>
          <w:bCs/>
          <w:color w:val="auto"/>
          <w:sz w:val="32"/>
          <w:szCs w:val="32"/>
          <w:lang w:val="en-US" w:eastAsia="zh-CN"/>
        </w:rPr>
      </w:pPr>
      <w:r>
        <w:rPr>
          <w:rFonts w:hint="eastAsia" w:ascii="宋体" w:hAnsi="宋体" w:eastAsia="方正小标宋简体" w:cs="Times New Roman"/>
          <w:bCs/>
          <w:color w:val="auto"/>
          <w:sz w:val="32"/>
          <w:szCs w:val="32"/>
          <w:lang w:val="en-US" w:eastAsia="zh-CN"/>
        </w:rPr>
        <w:t>景洪市财政局  国家税务总局景洪市</w:t>
      </w:r>
    </w:p>
    <w:p>
      <w:pPr>
        <w:jc w:val="center"/>
        <w:rPr>
          <w:rFonts w:hint="eastAsia" w:ascii="宋体" w:hAnsi="宋体" w:eastAsia="方正小标宋简体" w:cs="Times New Roman"/>
          <w:bCs/>
          <w:color w:val="auto"/>
          <w:sz w:val="32"/>
          <w:szCs w:val="32"/>
          <w:lang w:val="en-US" w:eastAsia="zh-CN"/>
        </w:rPr>
      </w:pPr>
      <w:r>
        <w:rPr>
          <w:rFonts w:hint="eastAsia" w:ascii="宋体" w:hAnsi="宋体" w:eastAsia="方正小标宋简体" w:cs="Times New Roman"/>
          <w:bCs/>
          <w:color w:val="auto"/>
          <w:sz w:val="32"/>
          <w:szCs w:val="32"/>
          <w:lang w:val="en-US" w:eastAsia="zh-CN"/>
        </w:rPr>
        <w:t>（代景洪市人民政府拟稿）</w:t>
      </w:r>
    </w:p>
    <w:p>
      <w:pPr>
        <w:jc w:val="center"/>
        <w:rPr>
          <w:rFonts w:ascii="宋体" w:hAnsi="宋体" w:eastAsia="方正小标宋简体" w:cs="Times New Roman"/>
          <w:bCs/>
          <w:color w:val="auto"/>
          <w:sz w:val="32"/>
          <w:szCs w:val="32"/>
        </w:rPr>
      </w:pPr>
      <w:r>
        <w:rPr>
          <w:rFonts w:hint="eastAsia" w:ascii="宋体" w:hAnsi="宋体" w:eastAsia="方正小标宋简体" w:cs="Times New Roman"/>
          <w:bCs/>
          <w:color w:val="auto"/>
          <w:sz w:val="32"/>
          <w:szCs w:val="32"/>
        </w:rPr>
        <w:t>二〇二</w:t>
      </w:r>
      <w:r>
        <w:rPr>
          <w:rFonts w:hint="eastAsia" w:ascii="宋体" w:hAnsi="宋体" w:eastAsia="方正小标宋简体" w:cs="Times New Roman"/>
          <w:bCs/>
          <w:color w:val="auto"/>
          <w:sz w:val="32"/>
          <w:szCs w:val="32"/>
          <w:lang w:val="en-US" w:eastAsia="zh-CN"/>
        </w:rPr>
        <w:t>四</w:t>
      </w:r>
      <w:r>
        <w:rPr>
          <w:rFonts w:hint="eastAsia" w:ascii="宋体" w:hAnsi="宋体" w:eastAsia="方正小标宋简体" w:cs="Times New Roman"/>
          <w:bCs/>
          <w:color w:val="auto"/>
          <w:sz w:val="32"/>
          <w:szCs w:val="32"/>
        </w:rPr>
        <w:t>年</w:t>
      </w:r>
      <w:r>
        <w:rPr>
          <w:rFonts w:hint="eastAsia" w:ascii="宋体" w:hAnsi="宋体" w:eastAsia="方正小标宋简体" w:cs="Times New Roman"/>
          <w:bCs/>
          <w:color w:val="auto"/>
          <w:sz w:val="32"/>
          <w:szCs w:val="32"/>
          <w:lang w:val="en-US" w:eastAsia="zh-CN"/>
        </w:rPr>
        <w:t>八</w:t>
      </w:r>
      <w:r>
        <w:rPr>
          <w:rFonts w:hint="eastAsia" w:ascii="宋体" w:hAnsi="宋体" w:eastAsia="方正小标宋简体" w:cs="Times New Roman"/>
          <w:bCs/>
          <w:color w:val="auto"/>
          <w:sz w:val="32"/>
          <w:szCs w:val="32"/>
        </w:rPr>
        <w:t>月</w:t>
      </w:r>
    </w:p>
    <w:p>
      <w:pPr>
        <w:rPr>
          <w:rFonts w:ascii="宋体" w:hAnsi="宋体" w:eastAsia="方正小标宋简体" w:cs="Times New Roman"/>
          <w:bCs/>
          <w:sz w:val="32"/>
          <w:szCs w:val="32"/>
        </w:rPr>
      </w:pPr>
    </w:p>
    <w:p>
      <w:pPr>
        <w:rPr>
          <w:rFonts w:ascii="宋体" w:hAnsi="宋体" w:eastAsia="方正小标宋简体" w:cs="Times New Roman"/>
          <w:bCs/>
          <w:sz w:val="32"/>
          <w:szCs w:val="32"/>
        </w:rPr>
      </w:pPr>
    </w:p>
    <w:p>
      <w:pPr>
        <w:rPr>
          <w:rFonts w:ascii="宋体" w:hAnsi="宋体" w:eastAsia="方正小标宋简体" w:cs="Times New Roman"/>
          <w:bCs/>
          <w:sz w:val="32"/>
          <w:szCs w:val="32"/>
        </w:rPr>
      </w:pPr>
    </w:p>
    <w:p>
      <w:pPr>
        <w:rPr>
          <w:rFonts w:ascii="宋体" w:hAnsi="宋体" w:eastAsia="方正小标宋简体" w:cs="Times New Roman"/>
          <w:bCs/>
          <w:sz w:val="32"/>
          <w:szCs w:val="32"/>
        </w:rPr>
      </w:pPr>
    </w:p>
    <w:p>
      <w:pPr>
        <w:jc w:val="center"/>
        <w:rPr>
          <w:rFonts w:ascii="宋体" w:hAnsi="宋体" w:eastAsia="方正小标宋简体" w:cs="Times New Roman"/>
          <w:bCs/>
          <w:sz w:val="32"/>
          <w:szCs w:val="32"/>
        </w:rPr>
        <w:sectPr>
          <w:headerReference r:id="rId4" w:type="default"/>
          <w:headerReference r:id="rId5" w:type="even"/>
          <w:pgSz w:w="11906" w:h="16838"/>
          <w:pgMar w:top="1440" w:right="1800" w:bottom="1440" w:left="1800"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Cs/>
          <w:sz w:val="44"/>
          <w:szCs w:val="44"/>
        </w:rPr>
      </w:pPr>
      <w:r>
        <w:rPr>
          <w:rFonts w:hint="eastAsia" w:ascii="黑体" w:hAnsi="黑体" w:eastAsia="黑体" w:cs="黑体"/>
          <w:bCs/>
          <w:sz w:val="44"/>
          <w:szCs w:val="44"/>
        </w:rPr>
        <w:t>总体说明</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Times New Roman" w:hAnsi="Times New Roman" w:eastAsia="方正仿宋_GBK" w:cs="Times New Roman"/>
          <w:b w:val="0"/>
          <w:bCs w:val="0"/>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val="0"/>
          <w:bCs w:val="0"/>
          <w:sz w:val="32"/>
          <w:szCs w:val="32"/>
          <w:highlight w:val="none"/>
          <w:lang w:val="en-US" w:eastAsia="zh-CN"/>
        </w:rPr>
        <w:t>2007年以来，景洪市严格按照《云南省财政厅 云南省地方税务局关于西双版纳州城镇土地使用税税额标准的批复》（云地税发〔2007〕252号）文件规定的城镇土地使用税税额标准，征收城镇土地使用税。2023年，全市（含旅游度假区和工业园区）城镇土地使用税收入完成2216.78万元，占全部税收收入的2.1%，高于全省平均水平0.9个百分点。城镇土地使用税的征收为加强土地管理，增加地方收入发挥了积极作用。但随着景洪市经济总量从2007年的</w:t>
      </w:r>
      <w:r>
        <w:rPr>
          <w:rFonts w:hint="eastAsia" w:ascii="仿宋_GB2312" w:hAnsi="仿宋_GB2312" w:eastAsia="仿宋_GB2312" w:cs="仿宋_GB2312"/>
          <w:sz w:val="32"/>
          <w:szCs w:val="32"/>
          <w:highlight w:val="none"/>
        </w:rPr>
        <w:t>54</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1</w:t>
      </w:r>
      <w:r>
        <w:rPr>
          <w:rFonts w:hint="eastAsia" w:ascii="仿宋_GB2312" w:hAnsi="仿宋_GB2312" w:eastAsia="仿宋_GB2312" w:cs="仿宋_GB2312"/>
          <w:sz w:val="32"/>
          <w:szCs w:val="32"/>
          <w:highlight w:val="none"/>
          <w:lang w:eastAsia="zh-CN"/>
        </w:rPr>
        <w:t>4</w:t>
      </w:r>
      <w:r>
        <w:rPr>
          <w:rFonts w:hint="eastAsia" w:ascii="仿宋_GB2312" w:hAnsi="仿宋_GB2312" w:eastAsia="仿宋_GB2312" w:cs="仿宋_GB2312"/>
          <w:sz w:val="32"/>
          <w:szCs w:val="32"/>
          <w:highlight w:val="none"/>
          <w:lang w:val="en-US" w:eastAsia="zh-CN"/>
        </w:rPr>
        <w:t>亿元提高到2023年的400.04亿元</w:t>
      </w:r>
      <w:r>
        <w:rPr>
          <w:rFonts w:hint="eastAsia" w:ascii="仿宋_GB2312" w:hAnsi="仿宋_GB2312" w:eastAsia="仿宋_GB2312" w:cs="仿宋_GB2312"/>
          <w:b w:val="0"/>
          <w:bCs w:val="0"/>
          <w:sz w:val="32"/>
          <w:szCs w:val="32"/>
          <w:highlight w:val="none"/>
          <w:lang w:val="en-US" w:eastAsia="zh-CN"/>
        </w:rPr>
        <w:t>、户籍人口从38.43万人增加到43.98万人，建成区面积从</w:t>
      </w:r>
      <w:r>
        <w:rPr>
          <w:rFonts w:hint="eastAsia" w:ascii="仿宋_GB2312" w:hAnsi="仿宋_GB2312" w:eastAsia="仿宋_GB2312" w:cs="仿宋_GB2312"/>
          <w:sz w:val="32"/>
          <w:szCs w:val="32"/>
          <w:highlight w:val="none"/>
          <w:lang w:val="en-US" w:eastAsia="zh-CN"/>
        </w:rPr>
        <w:t>13</w:t>
      </w:r>
      <w:r>
        <w:rPr>
          <w:rFonts w:hint="eastAsia" w:ascii="仿宋_GB2312" w:hAnsi="仿宋_GB2312" w:eastAsia="仿宋_GB2312" w:cs="仿宋_GB2312"/>
          <w:b w:val="0"/>
          <w:bCs w:val="0"/>
          <w:sz w:val="32"/>
          <w:szCs w:val="32"/>
          <w:highlight w:val="none"/>
          <w:lang w:val="en-US" w:eastAsia="zh-CN"/>
        </w:rPr>
        <w:t>平方公里扩展到</w:t>
      </w:r>
      <w:r>
        <w:rPr>
          <w:rFonts w:hint="eastAsia" w:ascii="仿宋_GB2312" w:hAnsi="仿宋_GB2312" w:eastAsia="仿宋_GB2312" w:cs="仿宋_GB2312"/>
          <w:sz w:val="32"/>
          <w:szCs w:val="32"/>
          <w:highlight w:val="none"/>
          <w:lang w:val="en-US" w:eastAsia="zh-CN"/>
        </w:rPr>
        <w:t>37.77</w:t>
      </w:r>
      <w:r>
        <w:rPr>
          <w:rFonts w:hint="eastAsia" w:ascii="仿宋_GB2312" w:hAnsi="仿宋_GB2312" w:eastAsia="仿宋_GB2312" w:cs="仿宋_GB2312"/>
          <w:b w:val="0"/>
          <w:bCs w:val="0"/>
          <w:sz w:val="32"/>
          <w:szCs w:val="32"/>
          <w:highlight w:val="none"/>
          <w:lang w:val="en-US" w:eastAsia="zh-CN"/>
        </w:rPr>
        <w:t>平方公里，由于现行土地使用税标准偏低，征收范围偏小，不利于调节土地级差收入，</w:t>
      </w:r>
      <w:r>
        <w:rPr>
          <w:rFonts w:hint="eastAsia" w:ascii="仿宋_GB2312" w:hAnsi="仿宋_GB2312" w:eastAsia="仿宋_GB2312" w:cs="仿宋_GB2312"/>
          <w:sz w:val="32"/>
          <w:szCs w:val="32"/>
          <w:highlight w:val="none"/>
        </w:rPr>
        <w:t>引导企业合理使用土地，</w:t>
      </w:r>
      <w:r>
        <w:rPr>
          <w:rFonts w:hint="eastAsia" w:ascii="仿宋_GB2312" w:hAnsi="仿宋_GB2312" w:eastAsia="仿宋_GB2312" w:cs="仿宋_GB2312"/>
          <w:b w:val="0"/>
          <w:bCs w:val="0"/>
          <w:sz w:val="32"/>
          <w:szCs w:val="32"/>
          <w:highlight w:val="none"/>
          <w:lang w:val="en-US" w:eastAsia="zh-CN"/>
        </w:rPr>
        <w:t>提高土地利用效益</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b w:val="0"/>
          <w:bCs w:val="0"/>
          <w:sz w:val="32"/>
          <w:szCs w:val="32"/>
          <w:highlight w:val="none"/>
          <w:lang w:val="en-US" w:eastAsia="zh-CN"/>
        </w:rPr>
        <w:t>根据《</w:t>
      </w:r>
      <w:r>
        <w:rPr>
          <w:rFonts w:hint="eastAsia" w:ascii="仿宋_GB2312" w:hAnsi="仿宋_GB2312" w:eastAsia="仿宋_GB2312" w:cs="仿宋_GB2312"/>
          <w:sz w:val="32"/>
          <w:szCs w:val="32"/>
          <w:highlight w:val="none"/>
        </w:rPr>
        <w:t>中华人民共和国城镇土地使用税暂行条例</w:t>
      </w:r>
      <w:r>
        <w:rPr>
          <w:rFonts w:hint="eastAsia" w:ascii="仿宋_GB2312" w:hAnsi="仿宋_GB2312" w:eastAsia="仿宋_GB2312" w:cs="仿宋_GB2312"/>
          <w:b w:val="0"/>
          <w:bCs w:val="0"/>
          <w:sz w:val="32"/>
          <w:szCs w:val="32"/>
          <w:highlight w:val="none"/>
          <w:lang w:val="en-US" w:eastAsia="zh-CN"/>
        </w:rPr>
        <w:t>》，结合景洪市实际，适当调整景洪市城区和建制镇的城镇土地使用税等级和适用税额标准，</w:t>
      </w:r>
      <w:r>
        <w:rPr>
          <w:rFonts w:hint="eastAsia" w:ascii="仿宋_GB2312" w:hAnsi="仿宋_GB2312" w:eastAsia="仿宋_GB2312" w:cs="仿宋_GB2312"/>
          <w:sz w:val="32"/>
          <w:szCs w:val="32"/>
          <w:highlight w:val="none"/>
        </w:rPr>
        <w:t>报省人民政府批准</w:t>
      </w:r>
      <w:r>
        <w:rPr>
          <w:rFonts w:hint="eastAsia" w:ascii="仿宋_GB2312" w:hAnsi="仿宋_GB2312" w:eastAsia="仿宋_GB2312" w:cs="仿宋_GB2312"/>
          <w:sz w:val="32"/>
          <w:szCs w:val="32"/>
          <w:highlight w:val="none"/>
          <w:lang w:val="en-US" w:eastAsia="zh-CN"/>
        </w:rPr>
        <w:t>后</w:t>
      </w:r>
      <w:r>
        <w:rPr>
          <w:rFonts w:hint="eastAsia" w:ascii="仿宋_GB2312" w:hAnsi="仿宋_GB2312" w:eastAsia="仿宋_GB2312" w:cs="仿宋_GB2312"/>
          <w:sz w:val="32"/>
          <w:szCs w:val="32"/>
          <w:highlight w:val="none"/>
        </w:rPr>
        <w:t>执行</w:t>
      </w:r>
      <w:r>
        <w:rPr>
          <w:rFonts w:hint="eastAsia" w:ascii="仿宋_GB2312" w:hAnsi="仿宋_GB2312" w:eastAsia="仿宋_GB2312" w:cs="仿宋_GB2312"/>
          <w:b w:val="0"/>
          <w:bCs w:val="0"/>
          <w:sz w:val="32"/>
          <w:szCs w:val="32"/>
          <w:highlight w:val="none"/>
          <w:lang w:val="en-US" w:eastAsia="zh-CN"/>
        </w:rPr>
        <w:t>。</w:t>
      </w:r>
      <w:r>
        <w:rPr>
          <w:rFonts w:hint="eastAsia" w:ascii="仿宋_GB2312" w:hAnsi="仿宋_GB2312" w:eastAsia="仿宋_GB2312" w:cs="仿宋_GB2312"/>
          <w:sz w:val="32"/>
          <w:szCs w:val="32"/>
          <w:lang w:val="en-US" w:eastAsia="zh-CN"/>
        </w:rPr>
        <w:t>现根据国家税务总局景洪市税务局、景洪市财政局</w:t>
      </w:r>
      <w:r>
        <w:rPr>
          <w:rFonts w:hint="eastAsia" w:ascii="仿宋_GB2312" w:hAnsi="仿宋_GB2312" w:eastAsia="仿宋_GB2312" w:cs="仿宋_GB2312"/>
          <w:sz w:val="32"/>
          <w:szCs w:val="32"/>
        </w:rPr>
        <w:t>对</w:t>
      </w:r>
      <w:r>
        <w:rPr>
          <w:rFonts w:hint="eastAsia" w:ascii="仿宋_GB2312" w:hAnsi="仿宋_GB2312" w:eastAsia="仿宋_GB2312" w:cs="仿宋_GB2312"/>
          <w:b w:val="0"/>
          <w:bCs w:val="0"/>
          <w:sz w:val="32"/>
          <w:szCs w:val="32"/>
          <w:highlight w:val="none"/>
          <w:lang w:val="en-US" w:eastAsia="zh-CN"/>
        </w:rPr>
        <w:t>城镇土地使用税</w:t>
      </w:r>
      <w:r>
        <w:rPr>
          <w:rFonts w:hint="eastAsia" w:ascii="仿宋_GB2312" w:hAnsi="仿宋_GB2312" w:eastAsia="仿宋_GB2312" w:cs="仿宋_GB2312"/>
          <w:sz w:val="32"/>
          <w:szCs w:val="32"/>
        </w:rPr>
        <w:t>标准进行了测算和研究，提出了景洪市</w:t>
      </w:r>
      <w:r>
        <w:rPr>
          <w:rFonts w:hint="eastAsia" w:ascii="仿宋_GB2312" w:hAnsi="仿宋_GB2312" w:eastAsia="仿宋_GB2312" w:cs="仿宋_GB2312"/>
          <w:b w:val="0"/>
          <w:bCs w:val="0"/>
          <w:sz w:val="32"/>
          <w:szCs w:val="32"/>
          <w:highlight w:val="none"/>
          <w:lang w:val="en-US" w:eastAsia="zh-CN"/>
        </w:rPr>
        <w:t>城镇土地使用税税额</w:t>
      </w:r>
      <w:r>
        <w:rPr>
          <w:rFonts w:hint="eastAsia" w:ascii="仿宋_GB2312" w:hAnsi="仿宋_GB2312" w:eastAsia="仿宋_GB2312" w:cs="仿宋_GB2312"/>
          <w:sz w:val="32"/>
          <w:szCs w:val="32"/>
        </w:rPr>
        <w:t>标准，现将有关情况报告如下：</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rPr>
      </w:pPr>
    </w:p>
    <w:p>
      <w:pPr>
        <w:sectPr>
          <w:headerReference r:id="rId6" w:type="default"/>
          <w:headerReference r:id="rId7" w:type="even"/>
          <w:pgSz w:w="11906" w:h="16838"/>
          <w:pgMar w:top="1440" w:right="1800" w:bottom="1440" w:left="1800" w:header="851" w:footer="992" w:gutter="0"/>
          <w:cols w:space="425" w:num="1"/>
          <w:docGrid w:type="lines" w:linePitch="312" w:charSpace="0"/>
        </w:sectPr>
      </w:pPr>
    </w:p>
    <w:sdt>
      <w:sdtPr>
        <w:rPr>
          <w:rFonts w:asciiTheme="minorHAnsi" w:hAnsiTheme="minorHAnsi" w:eastAsiaTheme="minorEastAsia" w:cstheme="minorBidi"/>
          <w:color w:val="auto"/>
          <w:kern w:val="2"/>
          <w:sz w:val="21"/>
          <w:szCs w:val="22"/>
          <w:lang w:val="zh-CN"/>
        </w:rPr>
        <w:id w:val="-2104334245"/>
        <w:docPartObj>
          <w:docPartGallery w:val="Table of Contents"/>
          <w:docPartUnique/>
        </w:docPartObj>
      </w:sdtPr>
      <w:sdtEndPr>
        <w:rPr>
          <w:rFonts w:ascii="Times New Roman" w:hAnsi="Times New Roman" w:cs="Times New Roman" w:eastAsiaTheme="minorEastAsia"/>
          <w:b/>
          <w:bCs/>
          <w:color w:val="auto"/>
          <w:kern w:val="2"/>
          <w:sz w:val="24"/>
          <w:szCs w:val="28"/>
          <w:lang w:val="zh-CN"/>
        </w:rPr>
      </w:sdtEndPr>
      <w:sdtContent>
        <w:p>
          <w:pPr>
            <w:pStyle w:val="21"/>
            <w:jc w:val="center"/>
            <w:rPr>
              <w:rFonts w:ascii="Times New Roman" w:hAnsi="Times New Roman" w:eastAsia="黑体" w:cs="Times New Roman"/>
              <w:sz w:val="40"/>
              <w:szCs w:val="40"/>
              <w:lang w:val="zh-CN"/>
            </w:rPr>
          </w:pPr>
          <w:r>
            <w:rPr>
              <w:rFonts w:ascii="Times New Roman" w:hAnsi="Times New Roman" w:eastAsia="黑体" w:cs="Times New Roman"/>
              <w:sz w:val="40"/>
              <w:szCs w:val="40"/>
              <w:lang w:val="zh-CN"/>
            </w:rPr>
            <w:t>目  录</w:t>
          </w:r>
        </w:p>
        <w:p>
          <w:pPr>
            <w:tabs>
              <w:tab w:val="left" w:pos="1348"/>
            </w:tabs>
            <w:rPr>
              <w:lang w:val="zh-CN"/>
            </w:rPr>
          </w:pPr>
          <w:r>
            <w:rPr>
              <w:rFonts w:hint="eastAsia"/>
              <w:lang w:val="zh-CN"/>
            </w:rPr>
            <w:tab/>
          </w:r>
        </w:p>
        <w:p>
          <w:pPr>
            <w:pStyle w:val="9"/>
            <w:tabs>
              <w:tab w:val="right" w:leader="dot" w:pos="8306"/>
            </w:tabs>
          </w:pPr>
          <w:r>
            <w:rPr>
              <w:rFonts w:ascii="Times New Roman" w:hAnsi="Times New Roman" w:cs="Times New Roman"/>
              <w:sz w:val="24"/>
              <w:szCs w:val="28"/>
            </w:rPr>
            <w:fldChar w:fldCharType="begin"/>
          </w:r>
          <w:r>
            <w:rPr>
              <w:rFonts w:ascii="Times New Roman" w:hAnsi="Times New Roman" w:cs="Times New Roman"/>
              <w:sz w:val="24"/>
              <w:szCs w:val="28"/>
            </w:rPr>
            <w:instrText xml:space="preserve"> TOC \o "1-3" \h \z \u </w:instrText>
          </w:r>
          <w:r>
            <w:rPr>
              <w:rFonts w:ascii="Times New Roman" w:hAnsi="Times New Roman" w:cs="Times New Roman"/>
              <w:sz w:val="24"/>
              <w:szCs w:val="28"/>
            </w:rPr>
            <w:fldChar w:fldCharType="separate"/>
          </w:r>
          <w:r>
            <w:rPr>
              <w:rFonts w:ascii="Times New Roman" w:hAnsi="Times New Roman" w:cs="Times New Roman"/>
              <w:szCs w:val="28"/>
            </w:rPr>
            <w:fldChar w:fldCharType="begin"/>
          </w:r>
          <w:r>
            <w:rPr>
              <w:rFonts w:ascii="Times New Roman" w:hAnsi="Times New Roman" w:cs="Times New Roman"/>
              <w:szCs w:val="28"/>
            </w:rPr>
            <w:instrText xml:space="preserve"> HYPERLINK \l _Toc3780 </w:instrText>
          </w:r>
          <w:r>
            <w:rPr>
              <w:rFonts w:ascii="Times New Roman" w:hAnsi="Times New Roman" w:cs="Times New Roman"/>
              <w:szCs w:val="28"/>
            </w:rPr>
            <w:fldChar w:fldCharType="separate"/>
          </w:r>
          <w:r>
            <w:rPr>
              <w:rFonts w:hint="eastAsia" w:ascii="黑体" w:hAnsi="黑体" w:eastAsia="黑体" w:cs="黑体"/>
              <w:bCs/>
              <w:kern w:val="44"/>
              <w:szCs w:val="32"/>
            </w:rPr>
            <w:t>一、基本情况</w:t>
          </w:r>
          <w:r>
            <w:tab/>
          </w:r>
          <w:r>
            <w:fldChar w:fldCharType="begin"/>
          </w:r>
          <w:r>
            <w:instrText xml:space="preserve"> PAGEREF _Toc3780 \h </w:instrText>
          </w:r>
          <w:r>
            <w:fldChar w:fldCharType="separate"/>
          </w:r>
          <w:r>
            <w:t>- 1 -</w:t>
          </w:r>
          <w:r>
            <w:fldChar w:fldCharType="end"/>
          </w:r>
          <w:r>
            <w:rPr>
              <w:rFonts w:ascii="Times New Roman" w:hAnsi="Times New Roman" w:cs="Times New Roman"/>
              <w:szCs w:val="28"/>
            </w:rPr>
            <w:fldChar w:fldCharType="end"/>
          </w:r>
        </w:p>
        <w:p>
          <w:pPr>
            <w:pStyle w:val="9"/>
            <w:tabs>
              <w:tab w:val="right" w:leader="dot" w:pos="8306"/>
            </w:tabs>
          </w:pPr>
          <w:r>
            <w:rPr>
              <w:rFonts w:ascii="Times New Roman" w:hAnsi="Times New Roman" w:cs="Times New Roman"/>
              <w:bCs/>
              <w:szCs w:val="28"/>
              <w:lang w:val="zh-CN"/>
            </w:rPr>
            <w:fldChar w:fldCharType="begin"/>
          </w:r>
          <w:r>
            <w:rPr>
              <w:rFonts w:ascii="Times New Roman" w:hAnsi="Times New Roman" w:cs="Times New Roman"/>
              <w:bCs/>
              <w:szCs w:val="28"/>
              <w:lang w:val="zh-CN"/>
            </w:rPr>
            <w:instrText xml:space="preserve"> HYPERLINK \l _Toc19452 </w:instrText>
          </w:r>
          <w:r>
            <w:rPr>
              <w:rFonts w:ascii="Times New Roman" w:hAnsi="Times New Roman" w:cs="Times New Roman"/>
              <w:bCs/>
              <w:szCs w:val="28"/>
              <w:lang w:val="zh-CN"/>
            </w:rPr>
            <w:fldChar w:fldCharType="separate"/>
          </w:r>
          <w:r>
            <w:rPr>
              <w:rFonts w:hint="eastAsia" w:ascii="黑体" w:hAnsi="黑体" w:eastAsia="黑体" w:cs="黑体"/>
              <w:bCs/>
              <w:kern w:val="44"/>
              <w:szCs w:val="32"/>
            </w:rPr>
            <w:t>二、政策依据</w:t>
          </w:r>
          <w:r>
            <w:tab/>
          </w:r>
          <w:r>
            <w:fldChar w:fldCharType="begin"/>
          </w:r>
          <w:r>
            <w:instrText xml:space="preserve"> PAGEREF _Toc19452 \h </w:instrText>
          </w:r>
          <w:r>
            <w:fldChar w:fldCharType="separate"/>
          </w:r>
          <w:r>
            <w:t>- 2 -</w:t>
          </w:r>
          <w:r>
            <w:fldChar w:fldCharType="end"/>
          </w:r>
          <w:r>
            <w:rPr>
              <w:rFonts w:ascii="Times New Roman" w:hAnsi="Times New Roman" w:cs="Times New Roman"/>
              <w:bCs/>
              <w:szCs w:val="28"/>
              <w:lang w:val="zh-CN"/>
            </w:rPr>
            <w:fldChar w:fldCharType="end"/>
          </w:r>
        </w:p>
        <w:p>
          <w:pPr>
            <w:pStyle w:val="9"/>
            <w:tabs>
              <w:tab w:val="right" w:leader="dot" w:pos="8306"/>
            </w:tabs>
          </w:pPr>
          <w:r>
            <w:rPr>
              <w:rFonts w:ascii="Times New Roman" w:hAnsi="Times New Roman" w:cs="Times New Roman"/>
              <w:bCs/>
              <w:szCs w:val="28"/>
              <w:lang w:val="zh-CN"/>
            </w:rPr>
            <w:fldChar w:fldCharType="begin"/>
          </w:r>
          <w:r>
            <w:rPr>
              <w:rFonts w:ascii="Times New Roman" w:hAnsi="Times New Roman" w:cs="Times New Roman"/>
              <w:bCs/>
              <w:szCs w:val="28"/>
              <w:lang w:val="zh-CN"/>
            </w:rPr>
            <w:instrText xml:space="preserve"> HYPERLINK \l _Toc1724 </w:instrText>
          </w:r>
          <w:r>
            <w:rPr>
              <w:rFonts w:ascii="Times New Roman" w:hAnsi="Times New Roman" w:cs="Times New Roman"/>
              <w:bCs/>
              <w:szCs w:val="28"/>
              <w:lang w:val="zh-CN"/>
            </w:rPr>
            <w:fldChar w:fldCharType="separate"/>
          </w:r>
          <w:r>
            <w:rPr>
              <w:rFonts w:hint="eastAsia" w:ascii="黑体" w:hAnsi="黑体" w:eastAsia="黑体" w:cs="黑体"/>
              <w:bCs/>
              <w:kern w:val="44"/>
              <w:szCs w:val="32"/>
            </w:rPr>
            <w:t>三、</w:t>
          </w:r>
          <w:r>
            <w:rPr>
              <w:rFonts w:hint="eastAsia" w:ascii="黑体" w:hAnsi="黑体" w:eastAsia="黑体" w:cs="黑体"/>
              <w:bCs/>
              <w:kern w:val="44"/>
              <w:szCs w:val="32"/>
              <w:lang w:val="en-US" w:eastAsia="zh-CN"/>
            </w:rPr>
            <w:t>税额</w:t>
          </w:r>
          <w:r>
            <w:rPr>
              <w:rFonts w:hint="eastAsia" w:ascii="黑体" w:hAnsi="黑体" w:eastAsia="黑体" w:cs="黑体"/>
              <w:bCs/>
              <w:kern w:val="44"/>
              <w:szCs w:val="32"/>
            </w:rPr>
            <w:t>标准</w:t>
          </w:r>
          <w:r>
            <w:rPr>
              <w:rFonts w:hint="eastAsia" w:ascii="黑体" w:hAnsi="黑体" w:eastAsia="黑体" w:cs="黑体"/>
              <w:bCs/>
              <w:kern w:val="44"/>
              <w:szCs w:val="32"/>
              <w:lang w:val="en-US" w:eastAsia="zh-CN"/>
            </w:rPr>
            <w:t>调整依据</w:t>
          </w:r>
          <w:r>
            <w:tab/>
          </w:r>
          <w:r>
            <w:fldChar w:fldCharType="begin"/>
          </w:r>
          <w:r>
            <w:instrText xml:space="preserve"> PAGEREF _Toc1724 \h </w:instrText>
          </w:r>
          <w:r>
            <w:fldChar w:fldCharType="separate"/>
          </w:r>
          <w:r>
            <w:t>- 3 -</w:t>
          </w:r>
          <w:r>
            <w:fldChar w:fldCharType="end"/>
          </w:r>
          <w:r>
            <w:rPr>
              <w:rFonts w:ascii="Times New Roman" w:hAnsi="Times New Roman" w:cs="Times New Roman"/>
              <w:bCs/>
              <w:szCs w:val="28"/>
              <w:lang w:val="zh-CN"/>
            </w:rPr>
            <w:fldChar w:fldCharType="end"/>
          </w:r>
        </w:p>
        <w:p>
          <w:pPr>
            <w:pStyle w:val="11"/>
            <w:tabs>
              <w:tab w:val="right" w:leader="dot" w:pos="8306"/>
            </w:tabs>
          </w:pPr>
          <w:r>
            <w:rPr>
              <w:rFonts w:ascii="Times New Roman" w:hAnsi="Times New Roman" w:cs="Times New Roman"/>
              <w:bCs/>
              <w:szCs w:val="28"/>
              <w:lang w:val="zh-CN"/>
            </w:rPr>
            <w:fldChar w:fldCharType="begin"/>
          </w:r>
          <w:r>
            <w:rPr>
              <w:rFonts w:ascii="Times New Roman" w:hAnsi="Times New Roman" w:cs="Times New Roman"/>
              <w:bCs/>
              <w:szCs w:val="28"/>
              <w:lang w:val="zh-CN"/>
            </w:rPr>
            <w:instrText xml:space="preserve"> HYPERLINK \l _Toc6003 </w:instrText>
          </w:r>
          <w:r>
            <w:rPr>
              <w:rFonts w:ascii="Times New Roman" w:hAnsi="Times New Roman" w:cs="Times New Roman"/>
              <w:bCs/>
              <w:szCs w:val="28"/>
              <w:lang w:val="zh-CN"/>
            </w:rPr>
            <w:fldChar w:fldCharType="separate"/>
          </w:r>
          <w:r>
            <w:rPr>
              <w:rFonts w:hint="eastAsia" w:ascii="楷体_GB2312" w:hAnsi="楷体_GB2312" w:eastAsia="楷体_GB2312" w:cs="楷体_GB2312"/>
              <w:bCs w:val="0"/>
              <w:szCs w:val="32"/>
              <w:highlight w:val="none"/>
              <w:lang w:val="en-US" w:eastAsia="zh-CN"/>
            </w:rPr>
            <w:t>（一）区位优势突出</w:t>
          </w:r>
          <w:r>
            <w:tab/>
          </w:r>
          <w:r>
            <w:fldChar w:fldCharType="begin"/>
          </w:r>
          <w:r>
            <w:instrText xml:space="preserve"> PAGEREF _Toc6003 \h </w:instrText>
          </w:r>
          <w:r>
            <w:fldChar w:fldCharType="separate"/>
          </w:r>
          <w:r>
            <w:t>- 4 -</w:t>
          </w:r>
          <w:r>
            <w:fldChar w:fldCharType="end"/>
          </w:r>
          <w:r>
            <w:rPr>
              <w:rFonts w:ascii="Times New Roman" w:hAnsi="Times New Roman" w:cs="Times New Roman"/>
              <w:bCs/>
              <w:szCs w:val="28"/>
              <w:lang w:val="zh-CN"/>
            </w:rPr>
            <w:fldChar w:fldCharType="end"/>
          </w:r>
        </w:p>
        <w:p>
          <w:pPr>
            <w:pStyle w:val="11"/>
            <w:tabs>
              <w:tab w:val="right" w:leader="dot" w:pos="8306"/>
            </w:tabs>
          </w:pPr>
          <w:r>
            <w:rPr>
              <w:rFonts w:ascii="Times New Roman" w:hAnsi="Times New Roman" w:cs="Times New Roman"/>
              <w:bCs/>
              <w:szCs w:val="28"/>
              <w:lang w:val="zh-CN"/>
            </w:rPr>
            <w:fldChar w:fldCharType="begin"/>
          </w:r>
          <w:r>
            <w:rPr>
              <w:rFonts w:ascii="Times New Roman" w:hAnsi="Times New Roman" w:cs="Times New Roman"/>
              <w:bCs/>
              <w:szCs w:val="28"/>
              <w:lang w:val="zh-CN"/>
            </w:rPr>
            <w:instrText xml:space="preserve"> HYPERLINK \l _Toc6618 </w:instrText>
          </w:r>
          <w:r>
            <w:rPr>
              <w:rFonts w:ascii="Times New Roman" w:hAnsi="Times New Roman" w:cs="Times New Roman"/>
              <w:bCs/>
              <w:szCs w:val="28"/>
              <w:lang w:val="zh-CN"/>
            </w:rPr>
            <w:fldChar w:fldCharType="separate"/>
          </w:r>
          <w:r>
            <w:rPr>
              <w:rFonts w:hint="eastAsia" w:ascii="楷体_GB2312" w:hAnsi="楷体_GB2312" w:eastAsia="楷体_GB2312" w:cs="楷体_GB2312"/>
              <w:bCs w:val="0"/>
              <w:szCs w:val="32"/>
              <w:highlight w:val="none"/>
              <w:lang w:val="en-US" w:eastAsia="zh-CN"/>
            </w:rPr>
            <w:t>（二）城市等级提高</w:t>
          </w:r>
          <w:r>
            <w:tab/>
          </w:r>
          <w:r>
            <w:fldChar w:fldCharType="begin"/>
          </w:r>
          <w:r>
            <w:instrText xml:space="preserve"> PAGEREF _Toc6618 \h </w:instrText>
          </w:r>
          <w:r>
            <w:fldChar w:fldCharType="separate"/>
          </w:r>
          <w:r>
            <w:t>- 4 -</w:t>
          </w:r>
          <w:r>
            <w:fldChar w:fldCharType="end"/>
          </w:r>
          <w:r>
            <w:rPr>
              <w:rFonts w:ascii="Times New Roman" w:hAnsi="Times New Roman" w:cs="Times New Roman"/>
              <w:bCs/>
              <w:szCs w:val="28"/>
              <w:lang w:val="zh-CN"/>
            </w:rPr>
            <w:fldChar w:fldCharType="end"/>
          </w:r>
        </w:p>
        <w:p>
          <w:pPr>
            <w:pStyle w:val="11"/>
            <w:tabs>
              <w:tab w:val="right" w:leader="dot" w:pos="8306"/>
            </w:tabs>
          </w:pPr>
          <w:r>
            <w:rPr>
              <w:rFonts w:ascii="Times New Roman" w:hAnsi="Times New Roman" w:cs="Times New Roman"/>
              <w:bCs/>
              <w:szCs w:val="28"/>
              <w:lang w:val="zh-CN"/>
            </w:rPr>
            <w:fldChar w:fldCharType="begin"/>
          </w:r>
          <w:r>
            <w:rPr>
              <w:rFonts w:ascii="Times New Roman" w:hAnsi="Times New Roman" w:cs="Times New Roman"/>
              <w:bCs/>
              <w:szCs w:val="28"/>
              <w:lang w:val="zh-CN"/>
            </w:rPr>
            <w:instrText xml:space="preserve"> HYPERLINK \l _Toc20148 </w:instrText>
          </w:r>
          <w:r>
            <w:rPr>
              <w:rFonts w:ascii="Times New Roman" w:hAnsi="Times New Roman" w:cs="Times New Roman"/>
              <w:bCs/>
              <w:szCs w:val="28"/>
              <w:lang w:val="zh-CN"/>
            </w:rPr>
            <w:fldChar w:fldCharType="separate"/>
          </w:r>
          <w:r>
            <w:rPr>
              <w:rFonts w:hint="eastAsia" w:ascii="楷体_GB2312" w:hAnsi="楷体_GB2312" w:eastAsia="楷体_GB2312" w:cs="楷体_GB2312"/>
              <w:bCs w:val="0"/>
              <w:szCs w:val="32"/>
              <w:highlight w:val="none"/>
              <w:lang w:val="en-US" w:eastAsia="zh-CN"/>
            </w:rPr>
            <w:t>（三）经济发展繁荣</w:t>
          </w:r>
          <w:r>
            <w:tab/>
          </w:r>
          <w:r>
            <w:fldChar w:fldCharType="begin"/>
          </w:r>
          <w:r>
            <w:instrText xml:space="preserve"> PAGEREF _Toc20148 \h </w:instrText>
          </w:r>
          <w:r>
            <w:fldChar w:fldCharType="separate"/>
          </w:r>
          <w:r>
            <w:t>- 5 -</w:t>
          </w:r>
          <w:r>
            <w:fldChar w:fldCharType="end"/>
          </w:r>
          <w:r>
            <w:rPr>
              <w:rFonts w:ascii="Times New Roman" w:hAnsi="Times New Roman" w:cs="Times New Roman"/>
              <w:bCs/>
              <w:szCs w:val="28"/>
              <w:lang w:val="zh-CN"/>
            </w:rPr>
            <w:fldChar w:fldCharType="end"/>
          </w:r>
        </w:p>
        <w:p>
          <w:pPr>
            <w:pStyle w:val="11"/>
            <w:tabs>
              <w:tab w:val="right" w:leader="dot" w:pos="8306"/>
            </w:tabs>
          </w:pPr>
          <w:r>
            <w:rPr>
              <w:rFonts w:ascii="Times New Roman" w:hAnsi="Times New Roman" w:cs="Times New Roman"/>
              <w:bCs/>
              <w:szCs w:val="28"/>
              <w:lang w:val="zh-CN"/>
            </w:rPr>
            <w:fldChar w:fldCharType="begin"/>
          </w:r>
          <w:r>
            <w:rPr>
              <w:rFonts w:ascii="Times New Roman" w:hAnsi="Times New Roman" w:cs="Times New Roman"/>
              <w:bCs/>
              <w:szCs w:val="28"/>
              <w:lang w:val="zh-CN"/>
            </w:rPr>
            <w:instrText xml:space="preserve"> HYPERLINK \l _Toc12007 </w:instrText>
          </w:r>
          <w:r>
            <w:rPr>
              <w:rFonts w:ascii="Times New Roman" w:hAnsi="Times New Roman" w:cs="Times New Roman"/>
              <w:bCs/>
              <w:szCs w:val="28"/>
              <w:lang w:val="zh-CN"/>
            </w:rPr>
            <w:fldChar w:fldCharType="separate"/>
          </w:r>
          <w:r>
            <w:rPr>
              <w:rFonts w:hint="eastAsia" w:ascii="楷体_GB2312" w:hAnsi="楷体_GB2312" w:eastAsia="楷体_GB2312" w:cs="楷体_GB2312"/>
              <w:bCs w:val="0"/>
              <w:szCs w:val="32"/>
              <w:highlight w:val="none"/>
              <w:lang w:val="en-US" w:eastAsia="zh-CN"/>
            </w:rPr>
            <w:t>（四）</w:t>
          </w:r>
          <w:r>
            <w:rPr>
              <w:rFonts w:hint="default" w:ascii="楷体_GB2312" w:hAnsi="楷体_GB2312" w:eastAsia="楷体_GB2312" w:cs="楷体_GB2312"/>
              <w:bCs w:val="0"/>
              <w:szCs w:val="32"/>
              <w:highlight w:val="none"/>
              <w:lang w:val="en-US" w:eastAsia="zh-CN"/>
            </w:rPr>
            <w:t>市政设施完善</w:t>
          </w:r>
          <w:r>
            <w:tab/>
          </w:r>
          <w:r>
            <w:fldChar w:fldCharType="begin"/>
          </w:r>
          <w:r>
            <w:instrText xml:space="preserve"> PAGEREF _Toc12007 \h </w:instrText>
          </w:r>
          <w:r>
            <w:fldChar w:fldCharType="separate"/>
          </w:r>
          <w:r>
            <w:t>- 6 -</w:t>
          </w:r>
          <w:r>
            <w:fldChar w:fldCharType="end"/>
          </w:r>
          <w:r>
            <w:rPr>
              <w:rFonts w:ascii="Times New Roman" w:hAnsi="Times New Roman" w:cs="Times New Roman"/>
              <w:bCs/>
              <w:szCs w:val="28"/>
              <w:lang w:val="zh-CN"/>
            </w:rPr>
            <w:fldChar w:fldCharType="end"/>
          </w:r>
        </w:p>
        <w:p>
          <w:pPr>
            <w:pStyle w:val="11"/>
            <w:tabs>
              <w:tab w:val="right" w:leader="dot" w:pos="8306"/>
            </w:tabs>
          </w:pPr>
          <w:r>
            <w:rPr>
              <w:rFonts w:ascii="Times New Roman" w:hAnsi="Times New Roman" w:cs="Times New Roman"/>
              <w:bCs/>
              <w:szCs w:val="28"/>
              <w:lang w:val="zh-CN"/>
            </w:rPr>
            <w:fldChar w:fldCharType="begin"/>
          </w:r>
          <w:r>
            <w:rPr>
              <w:rFonts w:ascii="Times New Roman" w:hAnsi="Times New Roman" w:cs="Times New Roman"/>
              <w:bCs/>
              <w:szCs w:val="28"/>
              <w:lang w:val="zh-CN"/>
            </w:rPr>
            <w:instrText xml:space="preserve"> HYPERLINK \l _Toc14654 </w:instrText>
          </w:r>
          <w:r>
            <w:rPr>
              <w:rFonts w:ascii="Times New Roman" w:hAnsi="Times New Roman" w:cs="Times New Roman"/>
              <w:bCs/>
              <w:szCs w:val="28"/>
              <w:lang w:val="zh-CN"/>
            </w:rPr>
            <w:fldChar w:fldCharType="separate"/>
          </w:r>
          <w:r>
            <w:rPr>
              <w:rFonts w:hint="eastAsia" w:ascii="楷体_GB2312" w:hAnsi="楷体_GB2312" w:eastAsia="楷体_GB2312" w:cs="楷体_GB2312"/>
              <w:bCs w:val="0"/>
              <w:szCs w:val="32"/>
              <w:highlight w:val="none"/>
              <w:lang w:val="en-US" w:eastAsia="zh-CN"/>
            </w:rPr>
            <w:t>（五）民生保障改善</w:t>
          </w:r>
          <w:r>
            <w:tab/>
          </w:r>
          <w:r>
            <w:fldChar w:fldCharType="begin"/>
          </w:r>
          <w:r>
            <w:instrText xml:space="preserve"> PAGEREF _Toc14654 \h </w:instrText>
          </w:r>
          <w:r>
            <w:fldChar w:fldCharType="separate"/>
          </w:r>
          <w:r>
            <w:t>- 7 -</w:t>
          </w:r>
          <w:r>
            <w:fldChar w:fldCharType="end"/>
          </w:r>
          <w:r>
            <w:rPr>
              <w:rFonts w:ascii="Times New Roman" w:hAnsi="Times New Roman" w:cs="Times New Roman"/>
              <w:bCs/>
              <w:szCs w:val="28"/>
              <w:lang w:val="zh-CN"/>
            </w:rPr>
            <w:fldChar w:fldCharType="end"/>
          </w:r>
        </w:p>
        <w:p>
          <w:pPr>
            <w:pStyle w:val="11"/>
            <w:tabs>
              <w:tab w:val="right" w:leader="dot" w:pos="8306"/>
            </w:tabs>
          </w:pPr>
          <w:r>
            <w:rPr>
              <w:rFonts w:ascii="Times New Roman" w:hAnsi="Times New Roman" w:cs="Times New Roman"/>
              <w:bCs/>
              <w:szCs w:val="28"/>
              <w:lang w:val="zh-CN"/>
            </w:rPr>
            <w:fldChar w:fldCharType="begin"/>
          </w:r>
          <w:r>
            <w:rPr>
              <w:rFonts w:ascii="Times New Roman" w:hAnsi="Times New Roman" w:cs="Times New Roman"/>
              <w:bCs/>
              <w:szCs w:val="28"/>
              <w:lang w:val="zh-CN"/>
            </w:rPr>
            <w:instrText xml:space="preserve"> HYPERLINK \l _Toc25561 </w:instrText>
          </w:r>
          <w:r>
            <w:rPr>
              <w:rFonts w:ascii="Times New Roman" w:hAnsi="Times New Roman" w:cs="Times New Roman"/>
              <w:bCs/>
              <w:szCs w:val="28"/>
              <w:lang w:val="zh-CN"/>
            </w:rPr>
            <w:fldChar w:fldCharType="separate"/>
          </w:r>
          <w:r>
            <w:rPr>
              <w:rFonts w:hint="eastAsia" w:ascii="楷体_GB2312" w:hAnsi="楷体_GB2312" w:eastAsia="楷体_GB2312" w:cs="楷体_GB2312"/>
              <w:bCs w:val="0"/>
              <w:szCs w:val="32"/>
              <w:highlight w:val="none"/>
              <w:lang w:val="en-US" w:eastAsia="zh-CN"/>
            </w:rPr>
            <w:t>（六）政策红利释放</w:t>
          </w:r>
          <w:r>
            <w:tab/>
          </w:r>
          <w:r>
            <w:fldChar w:fldCharType="begin"/>
          </w:r>
          <w:r>
            <w:instrText xml:space="preserve"> PAGEREF _Toc25561 \h </w:instrText>
          </w:r>
          <w:r>
            <w:fldChar w:fldCharType="separate"/>
          </w:r>
          <w:r>
            <w:t>- 8 -</w:t>
          </w:r>
          <w:r>
            <w:fldChar w:fldCharType="end"/>
          </w:r>
          <w:r>
            <w:rPr>
              <w:rFonts w:ascii="Times New Roman" w:hAnsi="Times New Roman" w:cs="Times New Roman"/>
              <w:bCs/>
              <w:szCs w:val="28"/>
              <w:lang w:val="zh-CN"/>
            </w:rPr>
            <w:fldChar w:fldCharType="end"/>
          </w:r>
        </w:p>
        <w:p>
          <w:pPr>
            <w:pStyle w:val="9"/>
            <w:tabs>
              <w:tab w:val="right" w:leader="dot" w:pos="8306"/>
            </w:tabs>
          </w:pPr>
          <w:r>
            <w:rPr>
              <w:rFonts w:ascii="Times New Roman" w:hAnsi="Times New Roman" w:cs="Times New Roman"/>
              <w:bCs/>
              <w:szCs w:val="28"/>
              <w:lang w:val="zh-CN"/>
            </w:rPr>
            <w:fldChar w:fldCharType="begin"/>
          </w:r>
          <w:r>
            <w:rPr>
              <w:rFonts w:ascii="Times New Roman" w:hAnsi="Times New Roman" w:cs="Times New Roman"/>
              <w:bCs/>
              <w:szCs w:val="28"/>
              <w:lang w:val="zh-CN"/>
            </w:rPr>
            <w:instrText xml:space="preserve"> HYPERLINK \l _Toc26583 </w:instrText>
          </w:r>
          <w:r>
            <w:rPr>
              <w:rFonts w:ascii="Times New Roman" w:hAnsi="Times New Roman" w:cs="Times New Roman"/>
              <w:bCs/>
              <w:szCs w:val="28"/>
              <w:lang w:val="zh-CN"/>
            </w:rPr>
            <w:fldChar w:fldCharType="separate"/>
          </w:r>
          <w:r>
            <w:rPr>
              <w:rFonts w:hint="eastAsia" w:ascii="黑体" w:hAnsi="黑体" w:eastAsia="黑体" w:cs="黑体"/>
              <w:bCs w:val="0"/>
              <w:szCs w:val="32"/>
              <w:highlight w:val="none"/>
              <w:lang w:val="en-US" w:eastAsia="zh-CN"/>
            </w:rPr>
            <w:t>四</w:t>
          </w:r>
          <w:r>
            <w:rPr>
              <w:rFonts w:hint="eastAsia" w:ascii="黑体" w:hAnsi="黑体" w:eastAsia="黑体" w:cs="黑体"/>
              <w:bCs w:val="0"/>
              <w:szCs w:val="32"/>
              <w:highlight w:val="none"/>
            </w:rPr>
            <w:t>、</w:t>
          </w:r>
          <w:r>
            <w:rPr>
              <w:rFonts w:hint="eastAsia" w:ascii="黑体" w:hAnsi="黑体" w:eastAsia="黑体" w:cs="黑体"/>
              <w:bCs w:val="0"/>
              <w:szCs w:val="32"/>
              <w:highlight w:val="none"/>
              <w:lang w:val="en-US" w:eastAsia="zh-CN"/>
            </w:rPr>
            <w:t>相关县（区）经济指标比较</w:t>
          </w:r>
          <w:r>
            <w:tab/>
          </w:r>
          <w:r>
            <w:fldChar w:fldCharType="begin"/>
          </w:r>
          <w:r>
            <w:instrText xml:space="preserve"> PAGEREF _Toc26583 \h </w:instrText>
          </w:r>
          <w:r>
            <w:fldChar w:fldCharType="separate"/>
          </w:r>
          <w:r>
            <w:t>- 9 -</w:t>
          </w:r>
          <w:r>
            <w:fldChar w:fldCharType="end"/>
          </w:r>
          <w:r>
            <w:rPr>
              <w:rFonts w:ascii="Times New Roman" w:hAnsi="Times New Roman" w:cs="Times New Roman"/>
              <w:bCs/>
              <w:szCs w:val="28"/>
              <w:lang w:val="zh-CN"/>
            </w:rPr>
            <w:fldChar w:fldCharType="end"/>
          </w:r>
        </w:p>
        <w:p>
          <w:pPr>
            <w:pStyle w:val="9"/>
            <w:tabs>
              <w:tab w:val="right" w:leader="dot" w:pos="8306"/>
            </w:tabs>
          </w:pPr>
          <w:r>
            <w:rPr>
              <w:rFonts w:ascii="Times New Roman" w:hAnsi="Times New Roman" w:cs="Times New Roman"/>
              <w:bCs/>
              <w:szCs w:val="28"/>
              <w:lang w:val="zh-CN"/>
            </w:rPr>
            <w:fldChar w:fldCharType="begin"/>
          </w:r>
          <w:r>
            <w:rPr>
              <w:rFonts w:ascii="Times New Roman" w:hAnsi="Times New Roman" w:cs="Times New Roman"/>
              <w:bCs/>
              <w:szCs w:val="28"/>
              <w:lang w:val="zh-CN"/>
            </w:rPr>
            <w:instrText xml:space="preserve"> HYPERLINK \l _Toc28256 </w:instrText>
          </w:r>
          <w:r>
            <w:rPr>
              <w:rFonts w:ascii="Times New Roman" w:hAnsi="Times New Roman" w:cs="Times New Roman"/>
              <w:bCs/>
              <w:szCs w:val="28"/>
              <w:lang w:val="zh-CN"/>
            </w:rPr>
            <w:fldChar w:fldCharType="separate"/>
          </w:r>
          <w:r>
            <w:rPr>
              <w:rFonts w:hint="eastAsia" w:ascii="黑体" w:hAnsi="黑体" w:eastAsia="黑体" w:cs="黑体"/>
              <w:bCs/>
              <w:kern w:val="44"/>
              <w:szCs w:val="32"/>
              <w:lang w:val="en-US" w:eastAsia="zh-CN"/>
            </w:rPr>
            <w:t>五</w:t>
          </w:r>
          <w:r>
            <w:rPr>
              <w:rFonts w:hint="eastAsia" w:ascii="黑体" w:hAnsi="黑体" w:eastAsia="黑体" w:cs="黑体"/>
              <w:bCs/>
              <w:kern w:val="44"/>
              <w:szCs w:val="32"/>
            </w:rPr>
            <w:t>、</w:t>
          </w:r>
          <w:r>
            <w:rPr>
              <w:rFonts w:hint="eastAsia" w:ascii="黑体" w:hAnsi="黑体" w:eastAsia="黑体" w:cs="黑体"/>
              <w:bCs w:val="0"/>
              <w:szCs w:val="32"/>
              <w:highlight w:val="none"/>
              <w:lang w:val="en-US" w:eastAsia="zh-CN"/>
            </w:rPr>
            <w:t>拟</w:t>
          </w:r>
          <w:r>
            <w:rPr>
              <w:rFonts w:hint="eastAsia" w:ascii="黑体" w:hAnsi="黑体" w:eastAsia="黑体" w:cs="黑体"/>
              <w:bCs w:val="0"/>
              <w:szCs w:val="32"/>
              <w:highlight w:val="none"/>
            </w:rPr>
            <w:t>调整税额标准</w:t>
          </w:r>
          <w:r>
            <w:tab/>
          </w:r>
          <w:r>
            <w:fldChar w:fldCharType="begin"/>
          </w:r>
          <w:r>
            <w:instrText xml:space="preserve"> PAGEREF _Toc28256 \h </w:instrText>
          </w:r>
          <w:r>
            <w:fldChar w:fldCharType="separate"/>
          </w:r>
          <w:r>
            <w:t>- 11 -</w:t>
          </w:r>
          <w:r>
            <w:fldChar w:fldCharType="end"/>
          </w:r>
          <w:r>
            <w:rPr>
              <w:rFonts w:ascii="Times New Roman" w:hAnsi="Times New Roman" w:cs="Times New Roman"/>
              <w:bCs/>
              <w:szCs w:val="28"/>
              <w:lang w:val="zh-CN"/>
            </w:rPr>
            <w:fldChar w:fldCharType="end"/>
          </w:r>
        </w:p>
        <w:p>
          <w:pPr>
            <w:pStyle w:val="9"/>
            <w:tabs>
              <w:tab w:val="right" w:leader="dot" w:pos="8306"/>
            </w:tabs>
          </w:pPr>
          <w:r>
            <w:rPr>
              <w:rFonts w:ascii="Times New Roman" w:hAnsi="Times New Roman" w:cs="Times New Roman"/>
              <w:bCs/>
              <w:szCs w:val="28"/>
              <w:lang w:val="zh-CN"/>
            </w:rPr>
            <w:fldChar w:fldCharType="begin"/>
          </w:r>
          <w:r>
            <w:rPr>
              <w:rFonts w:ascii="Times New Roman" w:hAnsi="Times New Roman" w:cs="Times New Roman"/>
              <w:bCs/>
              <w:szCs w:val="28"/>
              <w:lang w:val="zh-CN"/>
            </w:rPr>
            <w:instrText xml:space="preserve"> HYPERLINK \l _Toc2410 </w:instrText>
          </w:r>
          <w:r>
            <w:rPr>
              <w:rFonts w:ascii="Times New Roman" w:hAnsi="Times New Roman" w:cs="Times New Roman"/>
              <w:bCs/>
              <w:szCs w:val="28"/>
              <w:lang w:val="zh-CN"/>
            </w:rPr>
            <w:fldChar w:fldCharType="separate"/>
          </w:r>
          <w:r>
            <w:rPr>
              <w:rFonts w:hint="eastAsia" w:ascii="黑体" w:hAnsi="黑体" w:eastAsia="黑体" w:cs="黑体"/>
              <w:kern w:val="0"/>
              <w:szCs w:val="32"/>
              <w:highlight w:val="none"/>
              <w:lang w:val="en-US" w:eastAsia="zh-CN"/>
            </w:rPr>
            <w:t>六、调整前后收入情况对比</w:t>
          </w:r>
          <w:r>
            <w:tab/>
          </w:r>
          <w:r>
            <w:fldChar w:fldCharType="begin"/>
          </w:r>
          <w:r>
            <w:instrText xml:space="preserve"> PAGEREF _Toc2410 \h </w:instrText>
          </w:r>
          <w:r>
            <w:fldChar w:fldCharType="separate"/>
          </w:r>
          <w:r>
            <w:t>- 12 -</w:t>
          </w:r>
          <w:r>
            <w:fldChar w:fldCharType="end"/>
          </w:r>
          <w:r>
            <w:rPr>
              <w:rFonts w:ascii="Times New Roman" w:hAnsi="Times New Roman" w:cs="Times New Roman"/>
              <w:bCs/>
              <w:szCs w:val="28"/>
              <w:lang w:val="zh-CN"/>
            </w:rPr>
            <w:fldChar w:fldCharType="end"/>
          </w:r>
        </w:p>
        <w:p>
          <w:pPr>
            <w:pStyle w:val="11"/>
            <w:tabs>
              <w:tab w:val="right" w:leader="dot" w:pos="8306"/>
            </w:tabs>
          </w:pPr>
          <w:r>
            <w:rPr>
              <w:rFonts w:ascii="Times New Roman" w:hAnsi="Times New Roman" w:cs="Times New Roman"/>
              <w:bCs/>
              <w:szCs w:val="28"/>
              <w:lang w:val="zh-CN"/>
            </w:rPr>
            <w:fldChar w:fldCharType="begin"/>
          </w:r>
          <w:r>
            <w:rPr>
              <w:rFonts w:ascii="Times New Roman" w:hAnsi="Times New Roman" w:cs="Times New Roman"/>
              <w:bCs/>
              <w:szCs w:val="28"/>
              <w:lang w:val="zh-CN"/>
            </w:rPr>
            <w:instrText xml:space="preserve"> HYPERLINK \l _Toc14797 </w:instrText>
          </w:r>
          <w:r>
            <w:rPr>
              <w:rFonts w:ascii="Times New Roman" w:hAnsi="Times New Roman" w:cs="Times New Roman"/>
              <w:bCs/>
              <w:szCs w:val="28"/>
              <w:lang w:val="zh-CN"/>
            </w:rPr>
            <w:fldChar w:fldCharType="separate"/>
          </w:r>
          <w:r>
            <w:rPr>
              <w:rFonts w:hint="eastAsia" w:ascii="楷体_GB2312" w:hAnsi="楷体_GB2312" w:eastAsia="楷体_GB2312" w:cs="楷体_GB2312"/>
              <w:kern w:val="0"/>
              <w:szCs w:val="32"/>
              <w:highlight w:val="none"/>
              <w:lang w:val="en-US" w:eastAsia="zh-CN"/>
            </w:rPr>
            <w:t>（一）调整前收入情况</w:t>
          </w:r>
          <w:r>
            <w:tab/>
          </w:r>
          <w:r>
            <w:fldChar w:fldCharType="begin"/>
          </w:r>
          <w:r>
            <w:instrText xml:space="preserve"> PAGEREF _Toc14797 \h </w:instrText>
          </w:r>
          <w:r>
            <w:fldChar w:fldCharType="separate"/>
          </w:r>
          <w:r>
            <w:t>- 12 -</w:t>
          </w:r>
          <w:r>
            <w:fldChar w:fldCharType="end"/>
          </w:r>
          <w:r>
            <w:rPr>
              <w:rFonts w:ascii="Times New Roman" w:hAnsi="Times New Roman" w:cs="Times New Roman"/>
              <w:bCs/>
              <w:szCs w:val="28"/>
              <w:lang w:val="zh-CN"/>
            </w:rPr>
            <w:fldChar w:fldCharType="end"/>
          </w:r>
        </w:p>
        <w:p>
          <w:pPr>
            <w:pStyle w:val="11"/>
            <w:tabs>
              <w:tab w:val="right" w:leader="dot" w:pos="8306"/>
            </w:tabs>
          </w:pPr>
          <w:r>
            <w:rPr>
              <w:rFonts w:ascii="Times New Roman" w:hAnsi="Times New Roman" w:cs="Times New Roman"/>
              <w:bCs/>
              <w:szCs w:val="28"/>
              <w:lang w:val="zh-CN"/>
            </w:rPr>
            <w:fldChar w:fldCharType="begin"/>
          </w:r>
          <w:r>
            <w:rPr>
              <w:rFonts w:ascii="Times New Roman" w:hAnsi="Times New Roman" w:cs="Times New Roman"/>
              <w:bCs/>
              <w:szCs w:val="28"/>
              <w:lang w:val="zh-CN"/>
            </w:rPr>
            <w:instrText xml:space="preserve"> HYPERLINK \l _Toc15309 </w:instrText>
          </w:r>
          <w:r>
            <w:rPr>
              <w:rFonts w:ascii="Times New Roman" w:hAnsi="Times New Roman" w:cs="Times New Roman"/>
              <w:bCs/>
              <w:szCs w:val="28"/>
              <w:lang w:val="zh-CN"/>
            </w:rPr>
            <w:fldChar w:fldCharType="separate"/>
          </w:r>
          <w:r>
            <w:rPr>
              <w:rFonts w:hint="eastAsia" w:ascii="楷体" w:hAnsi="楷体" w:eastAsia="楷体" w:cs="楷体"/>
              <w:szCs w:val="32"/>
              <w:lang w:val="en-US" w:eastAsia="zh-CN"/>
            </w:rPr>
            <w:t>（二）调整后收入预测情况</w:t>
          </w:r>
          <w:r>
            <w:tab/>
          </w:r>
          <w:r>
            <w:fldChar w:fldCharType="begin"/>
          </w:r>
          <w:r>
            <w:instrText xml:space="preserve"> PAGEREF _Toc15309 \h </w:instrText>
          </w:r>
          <w:r>
            <w:fldChar w:fldCharType="separate"/>
          </w:r>
          <w:r>
            <w:t>- 12 -</w:t>
          </w:r>
          <w:r>
            <w:fldChar w:fldCharType="end"/>
          </w:r>
          <w:r>
            <w:rPr>
              <w:rFonts w:ascii="Times New Roman" w:hAnsi="Times New Roman" w:cs="Times New Roman"/>
              <w:bCs/>
              <w:szCs w:val="28"/>
              <w:lang w:val="zh-CN"/>
            </w:rPr>
            <w:fldChar w:fldCharType="end"/>
          </w:r>
        </w:p>
        <w:p>
          <w:pPr>
            <w:pStyle w:val="9"/>
            <w:tabs>
              <w:tab w:val="right" w:leader="dot" w:pos="8306"/>
            </w:tabs>
          </w:pPr>
          <w:r>
            <w:rPr>
              <w:rFonts w:ascii="Times New Roman" w:hAnsi="Times New Roman" w:cs="Times New Roman"/>
              <w:bCs/>
              <w:szCs w:val="28"/>
              <w:lang w:val="zh-CN"/>
            </w:rPr>
            <w:fldChar w:fldCharType="begin"/>
          </w:r>
          <w:r>
            <w:rPr>
              <w:rFonts w:ascii="Times New Roman" w:hAnsi="Times New Roman" w:cs="Times New Roman"/>
              <w:bCs/>
              <w:szCs w:val="28"/>
              <w:lang w:val="zh-CN"/>
            </w:rPr>
            <w:instrText xml:space="preserve"> HYPERLINK \l _Toc30018 </w:instrText>
          </w:r>
          <w:r>
            <w:rPr>
              <w:rFonts w:ascii="Times New Roman" w:hAnsi="Times New Roman" w:cs="Times New Roman"/>
              <w:bCs/>
              <w:szCs w:val="28"/>
              <w:lang w:val="zh-CN"/>
            </w:rPr>
            <w:fldChar w:fldCharType="separate"/>
          </w:r>
          <w:r>
            <w:rPr>
              <w:rFonts w:hint="eastAsia" w:ascii="黑体" w:hAnsi="黑体" w:eastAsia="黑体" w:cs="黑体"/>
              <w:kern w:val="0"/>
              <w:szCs w:val="32"/>
              <w:highlight w:val="none"/>
              <w:lang w:val="en-US" w:eastAsia="zh-CN"/>
            </w:rPr>
            <w:t>七、</w:t>
          </w:r>
          <w:r>
            <w:rPr>
              <w:rFonts w:hint="eastAsia" w:ascii="黑体" w:hAnsi="黑体" w:eastAsia="黑体" w:cs="黑体"/>
              <w:kern w:val="0"/>
              <w:szCs w:val="32"/>
              <w:highlight w:val="none"/>
            </w:rPr>
            <w:t>社会稳定风险评估</w:t>
          </w:r>
          <w:r>
            <w:tab/>
          </w:r>
          <w:r>
            <w:fldChar w:fldCharType="begin"/>
          </w:r>
          <w:r>
            <w:instrText xml:space="preserve"> PAGEREF _Toc30018 \h </w:instrText>
          </w:r>
          <w:r>
            <w:fldChar w:fldCharType="separate"/>
          </w:r>
          <w:r>
            <w:t>- 13 -</w:t>
          </w:r>
          <w:r>
            <w:fldChar w:fldCharType="end"/>
          </w:r>
          <w:r>
            <w:rPr>
              <w:rFonts w:ascii="Times New Roman" w:hAnsi="Times New Roman" w:cs="Times New Roman"/>
              <w:bCs/>
              <w:szCs w:val="28"/>
              <w:lang w:val="zh-CN"/>
            </w:rPr>
            <w:fldChar w:fldCharType="end"/>
          </w:r>
        </w:p>
        <w:p>
          <w:pPr>
            <w:rPr>
              <w:rFonts w:ascii="Times New Roman" w:hAnsi="Times New Roman" w:cs="Times New Roman"/>
              <w:sz w:val="24"/>
              <w:szCs w:val="28"/>
            </w:rPr>
          </w:pPr>
          <w:r>
            <w:rPr>
              <w:rFonts w:ascii="Times New Roman" w:hAnsi="Times New Roman" w:cs="Times New Roman"/>
              <w:bCs/>
              <w:szCs w:val="28"/>
              <w:lang w:val="zh-CN"/>
            </w:rPr>
            <w:fldChar w:fldCharType="end"/>
          </w:r>
        </w:p>
      </w:sdtContent>
    </w:sdt>
    <w:p/>
    <w:p/>
    <w:p/>
    <w:p>
      <w:pPr>
        <w:sectPr>
          <w:pgSz w:w="11906" w:h="16838"/>
          <w:pgMar w:top="1440" w:right="1800" w:bottom="1440" w:left="1800" w:header="851" w:footer="992" w:gutter="0"/>
          <w:cols w:space="425" w:num="1"/>
          <w:docGrid w:type="lines" w:linePitch="312" w:charSpace="0"/>
        </w:sectPr>
      </w:pPr>
    </w:p>
    <w:p>
      <w:pPr>
        <w:keepNext/>
        <w:keepLines/>
        <w:pageBreakBefore w:val="0"/>
        <w:widowControl w:val="0"/>
        <w:kinsoku/>
        <w:wordWrap/>
        <w:overflowPunct/>
        <w:topLinePunct w:val="0"/>
        <w:autoSpaceDE/>
        <w:autoSpaceDN/>
        <w:bidi w:val="0"/>
        <w:adjustRightInd w:val="0"/>
        <w:snapToGrid w:val="0"/>
        <w:spacing w:line="360" w:lineRule="auto"/>
        <w:ind w:firstLine="640" w:firstLineChars="200"/>
        <w:textAlignment w:val="auto"/>
        <w:outlineLvl w:val="0"/>
        <w:rPr>
          <w:rFonts w:hint="eastAsia" w:ascii="黑体" w:hAnsi="黑体" w:eastAsia="黑体" w:cs="黑体"/>
          <w:bCs/>
          <w:kern w:val="44"/>
          <w:sz w:val="32"/>
          <w:szCs w:val="32"/>
        </w:rPr>
      </w:pPr>
      <w:bookmarkStart w:id="0" w:name="_Toc46924037"/>
      <w:bookmarkStart w:id="1" w:name="_Toc331965740"/>
      <w:bookmarkStart w:id="2" w:name="_Toc326006941"/>
      <w:bookmarkStart w:id="3" w:name="_Toc3780"/>
      <w:bookmarkStart w:id="4" w:name="_Toc358982873"/>
      <w:r>
        <w:rPr>
          <w:rFonts w:hint="eastAsia" w:ascii="黑体" w:hAnsi="黑体" w:eastAsia="黑体" w:cs="黑体"/>
          <w:bCs/>
          <w:kern w:val="44"/>
          <w:sz w:val="32"/>
          <w:szCs w:val="32"/>
        </w:rPr>
        <w:t>一、基本情况</w:t>
      </w:r>
      <w:bookmarkEnd w:id="0"/>
      <w:bookmarkEnd w:id="1"/>
      <w:bookmarkEnd w:id="2"/>
      <w:bookmarkEnd w:id="3"/>
      <w:bookmarkEnd w:id="4"/>
    </w:p>
    <w:p>
      <w:pPr>
        <w:keepNext w:val="0"/>
        <w:keepLines w:val="0"/>
        <w:pageBreakBefore w:val="0"/>
        <w:widowControl w:val="0"/>
        <w:numPr>
          <w:ilvl w:val="0"/>
          <w:numId w:val="0"/>
        </w:numPr>
        <w:kinsoku/>
        <w:wordWrap/>
        <w:overflowPunct/>
        <w:topLinePunct w:val="0"/>
        <w:autoSpaceDE/>
        <w:autoSpaceDN/>
        <w:bidi w:val="0"/>
        <w:adjustRightInd w:val="0"/>
        <w:snapToGrid w:val="0"/>
        <w:spacing w:after="0" w:line="360" w:lineRule="auto"/>
        <w:ind w:firstLine="640" w:firstLineChars="200"/>
        <w:jc w:val="both"/>
        <w:textAlignment w:val="auto"/>
        <w:rPr>
          <w:rFonts w:hint="eastAsia" w:ascii="仿宋_GB2312" w:hAnsi="仿宋_GB2312" w:eastAsia="仿宋_GB2312" w:cs="仿宋_GB2312"/>
          <w:b w:val="0"/>
          <w:bCs w:val="0"/>
          <w:sz w:val="32"/>
          <w:szCs w:val="32"/>
          <w:highlight w:val="yellow"/>
          <w:lang w:val="en-US" w:eastAsia="zh-CN"/>
        </w:rPr>
      </w:pPr>
      <w:r>
        <w:rPr>
          <w:rFonts w:hint="eastAsia" w:ascii="仿宋_GB2312" w:hAnsi="仿宋_GB2312" w:eastAsia="仿宋_GB2312" w:cs="仿宋_GB2312"/>
          <w:b w:val="0"/>
          <w:bCs w:val="0"/>
          <w:sz w:val="32"/>
          <w:szCs w:val="32"/>
          <w:highlight w:val="none"/>
          <w:lang w:val="en-US" w:eastAsia="zh-CN"/>
        </w:rPr>
        <w:t>根据云地税发〔2007〕252号文件，景洪市城区和建制镇的城镇土地使用税等级和适用税额标准划分为四个等级：“一级地段6元/平方米·年、二级地段4元/平方米·年、</w:t>
      </w:r>
      <w:r>
        <w:rPr>
          <w:rFonts w:hint="eastAsia" w:ascii="仿宋_GB2312" w:hAnsi="仿宋_GB2312" w:eastAsia="仿宋_GB2312" w:cs="仿宋_GB2312"/>
          <w:b w:val="0"/>
          <w:bCs w:val="0"/>
          <w:color w:val="auto"/>
          <w:sz w:val="32"/>
          <w:szCs w:val="32"/>
          <w:highlight w:val="none"/>
          <w:lang w:val="en-US" w:eastAsia="zh-CN"/>
        </w:rPr>
        <w:t>三级地段2元/平方米·年、四级地段1元/平方米·年；全州建制镇、工矿区：划分为二个等级，一级地段1元、二级地段0.8元”，该标准执行至今已经16年。期间，景洪市城镇土地使用税收入从2007年的</w:t>
      </w:r>
      <w:r>
        <w:rPr>
          <w:rFonts w:hint="eastAsia" w:ascii="仿宋_GB2312" w:hAnsi="仿宋_GB2312" w:eastAsia="仿宋_GB2312" w:cs="仿宋_GB2312"/>
          <w:color w:val="auto"/>
          <w:sz w:val="32"/>
          <w:szCs w:val="32"/>
          <w:highlight w:val="none"/>
          <w:lang w:val="en-US" w:eastAsia="zh-CN"/>
        </w:rPr>
        <w:t>558</w:t>
      </w:r>
      <w:r>
        <w:rPr>
          <w:rFonts w:hint="eastAsia" w:ascii="仿宋_GB2312" w:hAnsi="仿宋_GB2312" w:eastAsia="仿宋_GB2312" w:cs="仿宋_GB2312"/>
          <w:b w:val="0"/>
          <w:bCs w:val="0"/>
          <w:color w:val="auto"/>
          <w:sz w:val="32"/>
          <w:szCs w:val="32"/>
          <w:highlight w:val="none"/>
          <w:lang w:val="en-US" w:eastAsia="zh-CN"/>
        </w:rPr>
        <w:t>万元（含县级481万元、西双版纳州地方税务局直属征收分局77万元），提高到2023年的</w:t>
      </w:r>
      <w:r>
        <w:rPr>
          <w:rFonts w:hint="eastAsia" w:ascii="仿宋_GB2312" w:hAnsi="仿宋_GB2312" w:eastAsia="仿宋_GB2312" w:cs="仿宋_GB2312"/>
          <w:color w:val="auto"/>
          <w:sz w:val="32"/>
          <w:szCs w:val="32"/>
          <w:highlight w:val="none"/>
        </w:rPr>
        <w:t>2216.78万元</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占全部税收比重从2.5%降低到2.1%，降低了0.4个百分点（2023年城镇土地使用税收入为统一对比口径加入了因征期调整由2023年12月调整至次年1月缴纳部分）。</w:t>
      </w:r>
    </w:p>
    <w:p>
      <w:pPr>
        <w:keepNext w:val="0"/>
        <w:keepLines w:val="0"/>
        <w:pageBreakBefore w:val="0"/>
        <w:widowControl w:val="0"/>
        <w:numPr>
          <w:ilvl w:val="0"/>
          <w:numId w:val="0"/>
        </w:numPr>
        <w:kinsoku/>
        <w:wordWrap/>
        <w:overflowPunct/>
        <w:topLinePunct w:val="0"/>
        <w:autoSpaceDE/>
        <w:autoSpaceDN/>
        <w:bidi w:val="0"/>
        <w:adjustRightInd w:val="0"/>
        <w:snapToGrid w:val="0"/>
        <w:spacing w:after="0" w:line="360" w:lineRule="auto"/>
        <w:ind w:firstLine="640" w:firstLineChars="200"/>
        <w:jc w:val="both"/>
        <w:textAlignment w:val="auto"/>
        <w:rPr>
          <w:rFonts w:hint="eastAsia" w:ascii="Times New Roman" w:hAnsi="Times New Roman" w:eastAsia="方正仿宋_GBK" w:cs="Times New Roman"/>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2007年至今，</w:t>
      </w:r>
      <w:r>
        <w:rPr>
          <w:rFonts w:hint="eastAsia" w:ascii="仿宋_GB2312" w:hAnsi="仿宋_GB2312" w:eastAsia="仿宋_GB2312" w:cs="仿宋_GB2312"/>
          <w:sz w:val="32"/>
          <w:szCs w:val="32"/>
          <w:highlight w:val="none"/>
        </w:rPr>
        <w:t>昆明、昭通、楚雄、红河、德宏、丽江</w:t>
      </w:r>
      <w:r>
        <w:rPr>
          <w:rFonts w:hint="eastAsia" w:ascii="仿宋_GB2312" w:hAnsi="仿宋_GB2312" w:eastAsia="仿宋_GB2312" w:cs="仿宋_GB2312"/>
          <w:b w:val="0"/>
          <w:bCs w:val="0"/>
          <w:sz w:val="32"/>
          <w:szCs w:val="32"/>
          <w:highlight w:val="none"/>
          <w:lang w:val="en-US" w:eastAsia="zh-CN"/>
        </w:rPr>
        <w:t>等6个州（市）调整了</w:t>
      </w:r>
      <w:r>
        <w:rPr>
          <w:rFonts w:hint="eastAsia" w:ascii="仿宋_GB2312" w:hAnsi="仿宋_GB2312" w:eastAsia="仿宋_GB2312" w:cs="仿宋_GB2312"/>
          <w:sz w:val="32"/>
          <w:szCs w:val="32"/>
          <w:highlight w:val="none"/>
        </w:rPr>
        <w:t>城镇土地使用税等级和适用税额标准</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9个州（市）一直沿用2007年的标准</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昆明作为省会城市，将城区划分为五个等级，‌税额标准为3.5元至22元，征收标准较高，其余州（市）具体情况如下：</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黑体_GBK" w:hAnsi="方正黑体_GBK" w:eastAsia="方正黑体_GBK" w:cs="方正黑体_GBK"/>
          <w:b w:val="0"/>
          <w:bCs w:val="0"/>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黑体_GBK" w:hAnsi="方正黑体_GBK" w:eastAsia="方正黑体_GBK" w:cs="方正黑体_GBK"/>
          <w:b w:val="0"/>
          <w:bCs w:val="0"/>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黑体_GBK" w:hAnsi="方正黑体_GBK" w:eastAsia="方正黑体_GBK" w:cs="方正黑体_GBK"/>
          <w:b w:val="0"/>
          <w:bCs w:val="0"/>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黑体_GBK" w:hAnsi="方正黑体_GBK" w:eastAsia="方正黑体_GBK" w:cs="方正黑体_GBK"/>
          <w:b w:val="0"/>
          <w:bCs w:val="0"/>
          <w:sz w:val="32"/>
          <w:szCs w:val="32"/>
          <w:highlight w:val="none"/>
          <w:lang w:val="en-US" w:eastAsia="zh-CN"/>
        </w:rPr>
      </w:pPr>
    </w:p>
    <w:p>
      <w:pPr>
        <w:pStyle w:val="2"/>
        <w:rPr>
          <w:rFonts w:hint="eastAsia"/>
          <w:lang w:val="en-US" w:eastAsia="zh-CN"/>
        </w:rPr>
      </w:pPr>
    </w:p>
    <w:tbl>
      <w:tblPr>
        <w:tblStyle w:val="12"/>
        <w:tblpPr w:leftFromText="180" w:rightFromText="180" w:vertAnchor="text" w:horzAnchor="page" w:tblpXSpec="center" w:tblpY="573"/>
        <w:tblOverlap w:val="never"/>
        <w:tblW w:w="8805"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80"/>
        <w:gridCol w:w="2700"/>
        <w:gridCol w:w="1605"/>
        <w:gridCol w:w="855"/>
        <w:gridCol w:w="855"/>
        <w:gridCol w:w="855"/>
        <w:gridCol w:w="8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00" w:hRule="atLeast"/>
          <w:jc w:val="center"/>
        </w:trPr>
        <w:tc>
          <w:tcPr>
            <w:tcW w:w="8805" w:type="dxa"/>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宋体" w:hAnsi="宋体" w:eastAsia="宋体" w:cs="宋体"/>
                <w:i w:val="0"/>
                <w:iCs w:val="0"/>
                <w:color w:val="000000"/>
                <w:kern w:val="0"/>
                <w:sz w:val="32"/>
                <w:szCs w:val="32"/>
                <w:u w:val="none"/>
                <w:lang w:val="en-US" w:eastAsia="zh-CN" w:bidi="ar"/>
              </w:rPr>
              <w:t>六个州市城镇土地使用税征收标准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40" w:hRule="atLeast"/>
          <w:jc w:val="center"/>
        </w:trPr>
        <w:tc>
          <w:tcPr>
            <w:tcW w:w="1080" w:type="dxa"/>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8"/>
                <w:szCs w:val="28"/>
                <w:u w:val="none"/>
              </w:rPr>
            </w:pPr>
          </w:p>
        </w:tc>
        <w:tc>
          <w:tcPr>
            <w:tcW w:w="2700" w:type="dxa"/>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8"/>
                <w:szCs w:val="28"/>
                <w:u w:val="none"/>
              </w:rPr>
            </w:pPr>
          </w:p>
        </w:tc>
        <w:tc>
          <w:tcPr>
            <w:tcW w:w="1605" w:type="dxa"/>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8"/>
                <w:szCs w:val="28"/>
                <w:u w:val="none"/>
              </w:rPr>
            </w:pPr>
          </w:p>
        </w:tc>
        <w:tc>
          <w:tcPr>
            <w:tcW w:w="3420" w:type="dxa"/>
            <w:gridSpan w:val="4"/>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单位：元/年·平方米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0" w:hRule="atLeast"/>
          <w:jc w:val="center"/>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州市</w:t>
            </w:r>
          </w:p>
        </w:tc>
        <w:tc>
          <w:tcPr>
            <w:tcW w:w="2700" w:type="dxa"/>
            <w:vMerge w:val="restart"/>
            <w:tcBorders>
              <w:top w:val="single" w:color="000000" w:sz="4" w:space="0"/>
              <w:left w:val="single" w:color="000000" w:sz="4" w:space="0"/>
              <w:bottom w:val="single" w:color="000000" w:sz="4" w:space="0"/>
              <w:right w:val="single" w:color="000000" w:sz="4" w:space="0"/>
              <w:tl2br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 xml:space="preserve">             等级</w:t>
            </w:r>
            <w:r>
              <w:rPr>
                <w:rFonts w:hint="eastAsia" w:ascii="宋体" w:hAnsi="宋体" w:eastAsia="宋体" w:cs="宋体"/>
                <w:b/>
                <w:bCs/>
                <w:i w:val="0"/>
                <w:iCs w:val="0"/>
                <w:color w:val="000000"/>
                <w:kern w:val="0"/>
                <w:sz w:val="22"/>
                <w:szCs w:val="22"/>
                <w:u w:val="none"/>
                <w:lang w:val="en-US" w:eastAsia="zh-CN" w:bidi="ar"/>
              </w:rPr>
              <w:br w:type="textWrapping"/>
            </w:r>
            <w:r>
              <w:rPr>
                <w:rFonts w:hint="eastAsia" w:ascii="宋体" w:hAnsi="宋体" w:eastAsia="宋体" w:cs="宋体"/>
                <w:b/>
                <w:bCs/>
                <w:i w:val="0"/>
                <w:iCs w:val="0"/>
                <w:color w:val="000000"/>
                <w:kern w:val="0"/>
                <w:sz w:val="22"/>
                <w:szCs w:val="22"/>
                <w:u w:val="none"/>
                <w:lang w:val="en-US" w:eastAsia="zh-CN" w:bidi="ar"/>
              </w:rPr>
              <w:t>区域</w:t>
            </w:r>
          </w:p>
        </w:tc>
        <w:tc>
          <w:tcPr>
            <w:tcW w:w="16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执行时间</w:t>
            </w:r>
          </w:p>
        </w:tc>
        <w:tc>
          <w:tcPr>
            <w:tcW w:w="8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一级地段</w:t>
            </w:r>
          </w:p>
        </w:tc>
        <w:tc>
          <w:tcPr>
            <w:tcW w:w="8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二级地段</w:t>
            </w:r>
          </w:p>
        </w:tc>
        <w:tc>
          <w:tcPr>
            <w:tcW w:w="8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三级地段</w:t>
            </w:r>
          </w:p>
        </w:tc>
        <w:tc>
          <w:tcPr>
            <w:tcW w:w="8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四级地段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0" w:hRule="atLeas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c>
          <w:tcPr>
            <w:tcW w:w="2700" w:type="dxa"/>
            <w:vMerge w:val="continue"/>
            <w:tcBorders>
              <w:top w:val="single" w:color="000000" w:sz="4" w:space="0"/>
              <w:left w:val="single" w:color="000000" w:sz="4" w:space="0"/>
              <w:bottom w:val="single" w:color="000000" w:sz="4" w:space="0"/>
              <w:right w:val="single" w:color="000000" w:sz="4" w:space="0"/>
              <w:tl2br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16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0" w:hRule="atLeast"/>
          <w:jc w:val="center"/>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昭通</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昭阳区</w:t>
            </w:r>
          </w:p>
        </w:tc>
        <w:tc>
          <w:tcPr>
            <w:tcW w:w="16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2014年1月1日</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60" w:hRule="atLeas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昭阳区建制镇</w:t>
            </w:r>
          </w:p>
        </w:tc>
        <w:tc>
          <w:tcPr>
            <w:tcW w:w="16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0.8</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60" w:hRule="atLeast"/>
          <w:jc w:val="center"/>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楚雄</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楚雄市城区</w:t>
            </w:r>
          </w:p>
        </w:tc>
        <w:tc>
          <w:tcPr>
            <w:tcW w:w="16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2013年1月1日</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0" w:hRule="atLeas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大庄镇、法脿镇等15个建制镇</w:t>
            </w:r>
          </w:p>
        </w:tc>
        <w:tc>
          <w:tcPr>
            <w:tcW w:w="16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60" w:hRule="atLeas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广通镇、一平浪镇等10个建制镇</w:t>
            </w:r>
          </w:p>
        </w:tc>
        <w:tc>
          <w:tcPr>
            <w:tcW w:w="16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0" w:hRule="atLeas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羊街镇、宜就镇等6个建制镇</w:t>
            </w:r>
          </w:p>
        </w:tc>
        <w:tc>
          <w:tcPr>
            <w:tcW w:w="16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0" w:hRule="atLeas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石羊镇</w:t>
            </w:r>
          </w:p>
        </w:tc>
        <w:tc>
          <w:tcPr>
            <w:tcW w:w="16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60" w:hRule="atLeas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六苴镇、工矿区</w:t>
            </w:r>
          </w:p>
        </w:tc>
        <w:tc>
          <w:tcPr>
            <w:tcW w:w="16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60" w:hRule="atLeast"/>
          <w:jc w:val="center"/>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红河</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蒙自市城区</w:t>
            </w:r>
          </w:p>
        </w:tc>
        <w:tc>
          <w:tcPr>
            <w:tcW w:w="16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2015年1月1日</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60" w:hRule="atLeas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蒙自市建制镇、工矿区</w:t>
            </w:r>
          </w:p>
        </w:tc>
        <w:tc>
          <w:tcPr>
            <w:tcW w:w="16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0" w:hRule="atLeast"/>
          <w:jc w:val="center"/>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德宏</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芒市</w:t>
            </w:r>
          </w:p>
        </w:tc>
        <w:tc>
          <w:tcPr>
            <w:tcW w:w="16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2020年1月1日</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60" w:hRule="atLeas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瑞丽市</w:t>
            </w:r>
          </w:p>
        </w:tc>
        <w:tc>
          <w:tcPr>
            <w:tcW w:w="16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60" w:hRule="atLeas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芒市建制镇</w:t>
            </w:r>
          </w:p>
        </w:tc>
        <w:tc>
          <w:tcPr>
            <w:tcW w:w="16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0" w:hRule="atLeast"/>
          <w:jc w:val="center"/>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丽江</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丽江市古城区</w:t>
            </w:r>
          </w:p>
        </w:tc>
        <w:tc>
          <w:tcPr>
            <w:tcW w:w="16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2016年1月1日</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60" w:hRule="atLeas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建制镇</w:t>
            </w:r>
          </w:p>
        </w:tc>
        <w:tc>
          <w:tcPr>
            <w:tcW w:w="16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0" w:hRule="atLeast"/>
          <w:jc w:val="center"/>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版纳</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景洪市</w:t>
            </w:r>
          </w:p>
        </w:tc>
        <w:tc>
          <w:tcPr>
            <w:tcW w:w="16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2008年1月1日</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60" w:hRule="atLeas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西双版纳州建制镇、工矿区</w:t>
            </w:r>
          </w:p>
        </w:tc>
        <w:tc>
          <w:tcPr>
            <w:tcW w:w="16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0.8</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bl>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黑体_GBK" w:hAnsi="方正黑体_GBK" w:eastAsia="方正黑体_GBK" w:cs="方正黑体_GBK"/>
          <w:b w:val="0"/>
          <w:bCs w:val="0"/>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val="0"/>
          <w:bCs w:val="0"/>
          <w:sz w:val="32"/>
          <w:szCs w:val="32"/>
          <w:highlight w:val="none"/>
          <w:lang w:val="en-US" w:eastAsia="zh-CN"/>
        </w:rPr>
        <w:t>与提高标准的6个州（市）相比，景洪市现行城镇土地使用税等级税额标准一直沿用2007年制定的标准，该标准是基于当时的城市（包括市区、郊区、建制镇、工矿区）各地段的土地级差和经济繁荣程度制定的，标准偏低。在执行2007年标准的9个州（市）中，麒麟区、红塔区、大理市的一级地段税额标准高于景洪市，思茅区、隆阳区的标准与景洪市一致，文山市、临翔区、泸水市、香格里拉市的标准低于景洪市。</w:t>
      </w:r>
    </w:p>
    <w:p>
      <w:pPr>
        <w:keepNext/>
        <w:keepLines/>
        <w:pageBreakBefore w:val="0"/>
        <w:widowControl w:val="0"/>
        <w:kinsoku/>
        <w:wordWrap/>
        <w:overflowPunct/>
        <w:topLinePunct w:val="0"/>
        <w:autoSpaceDE/>
        <w:autoSpaceDN/>
        <w:bidi w:val="0"/>
        <w:adjustRightInd w:val="0"/>
        <w:snapToGrid w:val="0"/>
        <w:spacing w:line="360" w:lineRule="auto"/>
        <w:ind w:firstLine="640" w:firstLineChars="200"/>
        <w:textAlignment w:val="auto"/>
        <w:outlineLvl w:val="0"/>
        <w:rPr>
          <w:rFonts w:hint="eastAsia" w:ascii="黑体" w:hAnsi="黑体" w:eastAsia="黑体" w:cs="黑体"/>
          <w:bCs/>
          <w:kern w:val="44"/>
          <w:sz w:val="32"/>
          <w:szCs w:val="32"/>
        </w:rPr>
      </w:pPr>
      <w:bookmarkStart w:id="5" w:name="_Toc19452"/>
      <w:bookmarkStart w:id="6" w:name="_Toc46924038"/>
      <w:r>
        <w:rPr>
          <w:rFonts w:hint="eastAsia" w:ascii="黑体" w:hAnsi="黑体" w:eastAsia="黑体" w:cs="黑体"/>
          <w:bCs/>
          <w:kern w:val="44"/>
          <w:sz w:val="32"/>
          <w:szCs w:val="32"/>
        </w:rPr>
        <w:t>二、政策依据</w:t>
      </w:r>
      <w:bookmarkEnd w:id="5"/>
      <w:bookmarkEnd w:id="6"/>
    </w:p>
    <w:p>
      <w:pPr>
        <w:pageBreakBefore w:val="0"/>
        <w:widowControl w:val="0"/>
        <w:kinsoku/>
        <w:wordWrap/>
        <w:overflowPunct/>
        <w:topLinePunct w:val="0"/>
        <w:autoSpaceDE/>
        <w:autoSpaceDN/>
        <w:bidi w:val="0"/>
        <w:adjustRightInd w:val="0"/>
        <w:snapToGrid w:val="0"/>
        <w:spacing w:line="360" w:lineRule="auto"/>
        <w:ind w:firstLine="646" w:firstLineChars="202"/>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1.《中华人民共和国土地使用税暂行条例》；</w:t>
      </w:r>
    </w:p>
    <w:p>
      <w:pPr>
        <w:pageBreakBefore w:val="0"/>
        <w:widowControl w:val="0"/>
        <w:kinsoku/>
        <w:wordWrap/>
        <w:overflowPunct/>
        <w:topLinePunct w:val="0"/>
        <w:autoSpaceDE/>
        <w:autoSpaceDN/>
        <w:bidi w:val="0"/>
        <w:adjustRightInd w:val="0"/>
        <w:snapToGrid w:val="0"/>
        <w:spacing w:line="360" w:lineRule="auto"/>
        <w:ind w:firstLine="646" w:firstLineChars="202"/>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2.《云南省城镇土地使用税实施办法》；</w:t>
      </w:r>
    </w:p>
    <w:p>
      <w:pPr>
        <w:pageBreakBefore w:val="0"/>
        <w:widowControl w:val="0"/>
        <w:kinsoku/>
        <w:wordWrap/>
        <w:overflowPunct/>
        <w:topLinePunct w:val="0"/>
        <w:autoSpaceDE/>
        <w:autoSpaceDN/>
        <w:bidi w:val="0"/>
        <w:adjustRightInd w:val="0"/>
        <w:snapToGrid w:val="0"/>
        <w:spacing w:line="360" w:lineRule="auto"/>
        <w:ind w:firstLine="646" w:firstLineChars="202"/>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3.《云南省重大行政决策程序规定》；</w:t>
      </w:r>
    </w:p>
    <w:p>
      <w:pPr>
        <w:pageBreakBefore w:val="0"/>
        <w:widowControl w:val="0"/>
        <w:kinsoku/>
        <w:wordWrap/>
        <w:overflowPunct/>
        <w:topLinePunct w:val="0"/>
        <w:autoSpaceDE/>
        <w:autoSpaceDN/>
        <w:bidi w:val="0"/>
        <w:adjustRightInd w:val="0"/>
        <w:snapToGrid w:val="0"/>
        <w:spacing w:line="360" w:lineRule="auto"/>
        <w:ind w:firstLine="646" w:firstLineChars="202"/>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4.《国家税务局关于印发《关于土地使用税若干具体问题的解释和暂行规定》的通知》（</w:t>
      </w:r>
      <w:r>
        <w:rPr>
          <w:rFonts w:hint="eastAsia" w:ascii="仿宋_GB2312" w:hAnsi="仿宋_GB2312" w:eastAsia="仿宋_GB2312" w:cs="仿宋_GB2312"/>
          <w:sz w:val="32"/>
          <w:szCs w:val="32"/>
          <w:lang w:val="en-US" w:eastAsia="zh-CN"/>
        </w:rPr>
        <w:t>国税地字〔1988〕15号</w:t>
      </w:r>
      <w:r>
        <w:rPr>
          <w:rFonts w:hint="eastAsia" w:ascii="仿宋_GB2312" w:hAnsi="仿宋_GB2312" w:eastAsia="仿宋_GB2312" w:cs="仿宋_GB2312"/>
          <w:sz w:val="32"/>
          <w:szCs w:val="32"/>
        </w:rPr>
        <w:t>）；</w:t>
      </w:r>
    </w:p>
    <w:p>
      <w:pPr>
        <w:pageBreakBefore w:val="0"/>
        <w:widowControl w:val="0"/>
        <w:kinsoku/>
        <w:wordWrap/>
        <w:overflowPunct/>
        <w:topLinePunct w:val="0"/>
        <w:autoSpaceDE/>
        <w:autoSpaceDN/>
        <w:bidi w:val="0"/>
        <w:adjustRightInd w:val="0"/>
        <w:snapToGrid w:val="0"/>
        <w:spacing w:line="360" w:lineRule="auto"/>
        <w:ind w:firstLine="646" w:firstLineChars="202"/>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5.《云南省人民政府办公厅关于印发重大决策听证重要事项公示重点工作通报政务信息查询四项制度实施办法的通知》（云政办发〔2009〕41号）；</w:t>
      </w:r>
    </w:p>
    <w:p>
      <w:pPr>
        <w:keepNext/>
        <w:keepLines/>
        <w:pageBreakBefore w:val="0"/>
        <w:widowControl w:val="0"/>
        <w:kinsoku/>
        <w:wordWrap/>
        <w:overflowPunct/>
        <w:topLinePunct w:val="0"/>
        <w:autoSpaceDE/>
        <w:autoSpaceDN/>
        <w:bidi w:val="0"/>
        <w:adjustRightInd w:val="0"/>
        <w:snapToGrid w:val="0"/>
        <w:spacing w:line="360" w:lineRule="auto"/>
        <w:ind w:firstLine="640" w:firstLineChars="200"/>
        <w:textAlignment w:val="auto"/>
        <w:outlineLvl w:val="0"/>
        <w:rPr>
          <w:rFonts w:hint="eastAsia" w:ascii="黑体" w:hAnsi="黑体" w:eastAsia="黑体" w:cs="黑体"/>
          <w:bCs/>
          <w:kern w:val="44"/>
          <w:sz w:val="32"/>
          <w:szCs w:val="32"/>
          <w:lang w:val="en-US" w:eastAsia="zh-CN"/>
        </w:rPr>
      </w:pPr>
      <w:bookmarkStart w:id="7" w:name="_Toc46924039"/>
      <w:bookmarkStart w:id="8" w:name="_Toc1724"/>
      <w:r>
        <w:rPr>
          <w:rFonts w:hint="eastAsia" w:ascii="黑体" w:hAnsi="黑体" w:eastAsia="黑体" w:cs="黑体"/>
          <w:bCs/>
          <w:kern w:val="44"/>
          <w:sz w:val="32"/>
          <w:szCs w:val="32"/>
        </w:rPr>
        <w:t>三、</w:t>
      </w:r>
      <w:bookmarkEnd w:id="7"/>
      <w:r>
        <w:rPr>
          <w:rFonts w:hint="eastAsia" w:ascii="黑体" w:hAnsi="黑体" w:eastAsia="黑体" w:cs="黑体"/>
          <w:bCs/>
          <w:kern w:val="44"/>
          <w:sz w:val="32"/>
          <w:szCs w:val="32"/>
          <w:lang w:val="en-US" w:eastAsia="zh-CN"/>
        </w:rPr>
        <w:t>税额</w:t>
      </w:r>
      <w:r>
        <w:rPr>
          <w:rFonts w:hint="eastAsia" w:ascii="黑体" w:hAnsi="黑体" w:eastAsia="黑体" w:cs="黑体"/>
          <w:bCs/>
          <w:kern w:val="44"/>
          <w:sz w:val="32"/>
          <w:szCs w:val="32"/>
        </w:rPr>
        <w:t>标准</w:t>
      </w:r>
      <w:r>
        <w:rPr>
          <w:rFonts w:hint="eastAsia" w:ascii="黑体" w:hAnsi="黑体" w:eastAsia="黑体" w:cs="黑体"/>
          <w:bCs/>
          <w:kern w:val="44"/>
          <w:sz w:val="32"/>
          <w:szCs w:val="32"/>
          <w:lang w:val="en-US" w:eastAsia="zh-CN"/>
        </w:rPr>
        <w:t>调整依据</w:t>
      </w:r>
      <w:bookmarkEnd w:id="8"/>
    </w:p>
    <w:p>
      <w:pPr>
        <w:keepNext w:val="0"/>
        <w:keepLines w:val="0"/>
        <w:pageBreakBefore w:val="0"/>
        <w:widowControl w:val="0"/>
        <w:numPr>
          <w:ilvl w:val="0"/>
          <w:numId w:val="0"/>
        </w:numPr>
        <w:kinsoku/>
        <w:wordWrap/>
        <w:overflowPunct/>
        <w:topLinePunct w:val="0"/>
        <w:autoSpaceDE/>
        <w:autoSpaceDN/>
        <w:bidi w:val="0"/>
        <w:adjustRightInd w:val="0"/>
        <w:snapToGrid w:val="0"/>
        <w:spacing w:after="0" w:line="360" w:lineRule="auto"/>
        <w:ind w:firstLine="640" w:firstLineChars="200"/>
        <w:jc w:val="both"/>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2023年，景洪市地区生产总值完成400.04亿元，居民人均可支配收入32892元，排全省第25位。社会消费品零售总额192.56亿元，排全省第16位，全市年末常住人口为66.38万人，排全省第15位，常住人口城镇化率达60.18%，排全省第25位。全市主要经济指标和城镇化水平均居全省前列，但财政自给率仅为26.6%，低于全省平均水平（31.9%）5.3个百分点，财政收支矛盾突出，需要采取增收节支举措，而提高城镇土地使用税税额，增加用地成本，既可以引导土地使用者合理节约的使用土地，提高土地利用效益，又有利于贯彻落实国家加强土地宏观调控的措施，促进房地产市场健康发展，增加地方财政收入。</w:t>
      </w:r>
    </w:p>
    <w:p>
      <w:pPr>
        <w:keepNext w:val="0"/>
        <w:keepLines w:val="0"/>
        <w:pageBreakBefore w:val="0"/>
        <w:widowControl w:val="0"/>
        <w:numPr>
          <w:ilvl w:val="0"/>
          <w:numId w:val="0"/>
        </w:numPr>
        <w:kinsoku/>
        <w:wordWrap/>
        <w:overflowPunct/>
        <w:topLinePunct w:val="0"/>
        <w:autoSpaceDE/>
        <w:autoSpaceDN/>
        <w:bidi w:val="0"/>
        <w:adjustRightInd w:val="0"/>
        <w:snapToGrid w:val="0"/>
        <w:spacing w:after="0" w:line="360" w:lineRule="auto"/>
        <w:ind w:firstLine="640" w:firstLineChars="200"/>
        <w:jc w:val="both"/>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中华人民共和国城镇土地使用税暂行条例》第五条规定：省、自治区、直辖市人民政府，应当在本条例第四条规定的税额幅度内，根据市政建设状况、经济繁荣程度等条件，确定所辖地区的适用税额幅度。即城镇土地使用税税负应与市政建设、经济发展、地理位置等相符。</w:t>
      </w:r>
    </w:p>
    <w:p>
      <w:pPr>
        <w:keepNext w:val="0"/>
        <w:keepLines w:val="0"/>
        <w:pageBreakBefore w:val="0"/>
        <w:widowControl w:val="0"/>
        <w:numPr>
          <w:ilvl w:val="0"/>
          <w:numId w:val="0"/>
        </w:numPr>
        <w:kinsoku/>
        <w:wordWrap/>
        <w:overflowPunct/>
        <w:topLinePunct w:val="0"/>
        <w:autoSpaceDE/>
        <w:autoSpaceDN/>
        <w:bidi w:val="0"/>
        <w:adjustRightInd w:val="0"/>
        <w:snapToGrid w:val="0"/>
        <w:spacing w:after="0" w:line="360" w:lineRule="auto"/>
        <w:ind w:firstLine="640" w:firstLineChars="200"/>
        <w:jc w:val="both"/>
        <w:textAlignment w:val="auto"/>
        <w:outlineLvl w:val="1"/>
        <w:rPr>
          <w:rFonts w:hint="eastAsia" w:ascii="楷体_GB2312" w:hAnsi="楷体_GB2312" w:eastAsia="楷体_GB2312" w:cs="楷体_GB2312"/>
          <w:b w:val="0"/>
          <w:bCs w:val="0"/>
          <w:sz w:val="32"/>
          <w:szCs w:val="32"/>
          <w:highlight w:val="none"/>
          <w:lang w:val="en-US" w:eastAsia="zh-CN"/>
        </w:rPr>
      </w:pPr>
      <w:bookmarkStart w:id="9" w:name="_Toc6003"/>
      <w:r>
        <w:rPr>
          <w:rFonts w:hint="eastAsia" w:ascii="楷体_GB2312" w:hAnsi="楷体_GB2312" w:eastAsia="楷体_GB2312" w:cs="楷体_GB2312"/>
          <w:b w:val="0"/>
          <w:bCs w:val="0"/>
          <w:sz w:val="32"/>
          <w:szCs w:val="32"/>
          <w:highlight w:val="none"/>
          <w:lang w:val="en-US" w:eastAsia="zh-CN"/>
        </w:rPr>
        <w:t>（一）区位优势突出</w:t>
      </w:r>
      <w:bookmarkEnd w:id="9"/>
    </w:p>
    <w:p>
      <w:pPr>
        <w:keepNext w:val="0"/>
        <w:keepLines w:val="0"/>
        <w:pageBreakBefore w:val="0"/>
        <w:widowControl w:val="0"/>
        <w:numPr>
          <w:ilvl w:val="0"/>
          <w:numId w:val="0"/>
        </w:numPr>
        <w:kinsoku/>
        <w:wordWrap/>
        <w:overflowPunct/>
        <w:topLinePunct w:val="0"/>
        <w:autoSpaceDE/>
        <w:autoSpaceDN/>
        <w:bidi w:val="0"/>
        <w:adjustRightInd w:val="0"/>
        <w:snapToGrid w:val="0"/>
        <w:spacing w:after="0" w:line="360" w:lineRule="auto"/>
        <w:ind w:firstLine="640" w:firstLineChars="200"/>
        <w:jc w:val="both"/>
        <w:textAlignment w:val="auto"/>
        <w:outlineLvl w:val="9"/>
        <w:rPr>
          <w:rFonts w:hint="eastAsia" w:ascii="Times New Roman" w:hAnsi="Times New Roman" w:eastAsia="方正仿宋_GBK" w:cs="Times New Roman"/>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随着“一带一路”建设进入高质量发展期，澜湄合作、中国—东盟自由贸易区、大湄公河次区域合作不断深入，中老、中缅经济走廊建设深入推进，中国（云南）自由贸易试验区加快建设，中老铁路开通运营，中泰高铁即将试运营，景洪市作为我国大西南连接中南半岛的枢纽城市，正在加快推进“民族团结进步和县域发展活力城市、生物多样性保护和美丽中国雨林城市、辐射南亚东南亚世界旅游名城核心区和泛亚通道枢纽城市”建设进程，努力打造中国最美旅游城市，在云南建设面向南亚东南亚辐射中心中具有重要战略地位。</w:t>
      </w:r>
    </w:p>
    <w:p>
      <w:pPr>
        <w:keepNext w:val="0"/>
        <w:keepLines w:val="0"/>
        <w:pageBreakBefore w:val="0"/>
        <w:widowControl w:val="0"/>
        <w:numPr>
          <w:ilvl w:val="0"/>
          <w:numId w:val="0"/>
        </w:numPr>
        <w:kinsoku/>
        <w:wordWrap/>
        <w:overflowPunct/>
        <w:topLinePunct w:val="0"/>
        <w:autoSpaceDE/>
        <w:autoSpaceDN/>
        <w:bidi w:val="0"/>
        <w:adjustRightInd w:val="0"/>
        <w:snapToGrid w:val="0"/>
        <w:spacing w:after="0" w:line="360" w:lineRule="auto"/>
        <w:ind w:firstLine="640" w:firstLineChars="200"/>
        <w:jc w:val="both"/>
        <w:textAlignment w:val="auto"/>
        <w:outlineLvl w:val="1"/>
        <w:rPr>
          <w:rFonts w:hint="eastAsia" w:ascii="楷体_GB2312" w:hAnsi="楷体_GB2312" w:eastAsia="楷体_GB2312" w:cs="楷体_GB2312"/>
          <w:b w:val="0"/>
          <w:bCs w:val="0"/>
          <w:sz w:val="32"/>
          <w:szCs w:val="32"/>
          <w:highlight w:val="none"/>
          <w:lang w:val="en-US" w:eastAsia="zh-CN"/>
        </w:rPr>
      </w:pPr>
      <w:bookmarkStart w:id="10" w:name="_Toc6618"/>
      <w:r>
        <w:rPr>
          <w:rFonts w:hint="eastAsia" w:ascii="楷体_GB2312" w:hAnsi="楷体_GB2312" w:eastAsia="楷体_GB2312" w:cs="楷体_GB2312"/>
          <w:b w:val="0"/>
          <w:bCs w:val="0"/>
          <w:sz w:val="32"/>
          <w:szCs w:val="32"/>
          <w:highlight w:val="none"/>
          <w:lang w:val="en-US" w:eastAsia="zh-CN"/>
        </w:rPr>
        <w:t>（二）城市等级提高</w:t>
      </w:r>
      <w:bookmarkEnd w:id="10"/>
    </w:p>
    <w:p>
      <w:pPr>
        <w:keepNext w:val="0"/>
        <w:keepLines w:val="0"/>
        <w:pageBreakBefore w:val="0"/>
        <w:widowControl w:val="0"/>
        <w:numPr>
          <w:ilvl w:val="0"/>
          <w:numId w:val="0"/>
        </w:numPr>
        <w:kinsoku/>
        <w:wordWrap/>
        <w:overflowPunct/>
        <w:topLinePunct w:val="0"/>
        <w:autoSpaceDE/>
        <w:autoSpaceDN/>
        <w:bidi w:val="0"/>
        <w:adjustRightInd w:val="0"/>
        <w:snapToGrid w:val="0"/>
        <w:spacing w:after="0" w:line="360" w:lineRule="auto"/>
        <w:ind w:firstLine="640" w:firstLineChars="200"/>
        <w:jc w:val="both"/>
        <w:textAlignment w:val="auto"/>
        <w:outlineLvl w:val="9"/>
        <w:rPr>
          <w:rFonts w:hint="default"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《中华人民共和国城镇土地使用税暂行条例》第四条规定：土地使用税每平方米年税额按照大城市1.5元至30元；中等城市1.2元至24元；小城市0.9元至18元；县城、建制镇、工矿区0.6元至12元执行。城市等级的划分</w:t>
      </w:r>
      <w:r>
        <w:rPr>
          <w:rFonts w:hint="default" w:ascii="仿宋_GB2312" w:hAnsi="仿宋_GB2312" w:eastAsia="仿宋_GB2312" w:cs="仿宋_GB2312"/>
          <w:b w:val="0"/>
          <w:bCs w:val="0"/>
          <w:sz w:val="32"/>
          <w:szCs w:val="32"/>
          <w:highlight w:val="none"/>
          <w:lang w:val="en-US" w:eastAsia="zh-CN"/>
        </w:rPr>
        <w:t>根据《国家税务局关于印发&lt;关于土地使用税若干具体问题的解释和暂行规定&gt;的通知》（国税地字〔1988〕15号）第七条规定</w:t>
      </w:r>
      <w:r>
        <w:rPr>
          <w:rFonts w:hint="eastAsia" w:ascii="仿宋_GB2312" w:hAnsi="仿宋_GB2312" w:eastAsia="仿宋_GB2312" w:cs="仿宋_GB2312"/>
          <w:b w:val="0"/>
          <w:bCs w:val="0"/>
          <w:sz w:val="32"/>
          <w:szCs w:val="32"/>
          <w:highlight w:val="none"/>
          <w:lang w:val="en-US" w:eastAsia="zh-CN"/>
        </w:rPr>
        <w:t>，“</w:t>
      </w:r>
      <w:r>
        <w:rPr>
          <w:rFonts w:hint="default" w:ascii="仿宋_GB2312" w:hAnsi="仿宋_GB2312" w:eastAsia="仿宋_GB2312" w:cs="仿宋_GB2312"/>
          <w:b w:val="0"/>
          <w:bCs w:val="0"/>
          <w:sz w:val="32"/>
          <w:szCs w:val="32"/>
          <w:highlight w:val="none"/>
          <w:lang w:val="en-US" w:eastAsia="zh-CN"/>
        </w:rPr>
        <w:t>以公安部门登记在册的非农业正式户口人数为依据，按照国务院颁布的《城市规划条例》中规定的标准划分</w:t>
      </w:r>
      <w:r>
        <w:rPr>
          <w:rFonts w:hint="eastAsia" w:ascii="仿宋_GB2312" w:hAnsi="仿宋_GB2312" w:eastAsia="仿宋_GB2312" w:cs="仿宋_GB2312"/>
          <w:b w:val="0"/>
          <w:bCs w:val="0"/>
          <w:sz w:val="32"/>
          <w:szCs w:val="32"/>
          <w:highlight w:val="none"/>
          <w:lang w:val="en-US" w:eastAsia="zh-CN"/>
        </w:rPr>
        <w:t>：</w:t>
      </w:r>
      <w:r>
        <w:rPr>
          <w:rFonts w:hint="default" w:ascii="仿宋_GB2312" w:hAnsi="仿宋_GB2312" w:eastAsia="仿宋_GB2312" w:cs="仿宋_GB2312"/>
          <w:b w:val="0"/>
          <w:bCs w:val="0"/>
          <w:sz w:val="32"/>
          <w:szCs w:val="32"/>
          <w:highlight w:val="none"/>
          <w:lang w:val="en-US" w:eastAsia="zh-CN"/>
        </w:rPr>
        <w:t>市区及郊区非农业人口总计在50万以上的，为大城市</w:t>
      </w:r>
      <w:r>
        <w:rPr>
          <w:rFonts w:hint="eastAsia" w:ascii="仿宋_GB2312" w:hAnsi="仿宋_GB2312" w:eastAsia="仿宋_GB2312" w:cs="仿宋_GB2312"/>
          <w:b w:val="0"/>
          <w:bCs w:val="0"/>
          <w:sz w:val="32"/>
          <w:szCs w:val="32"/>
          <w:highlight w:val="none"/>
          <w:lang w:val="en-US" w:eastAsia="zh-CN"/>
        </w:rPr>
        <w:t>；</w:t>
      </w:r>
      <w:r>
        <w:rPr>
          <w:rFonts w:hint="default" w:ascii="仿宋_GB2312" w:hAnsi="仿宋_GB2312" w:eastAsia="仿宋_GB2312" w:cs="仿宋_GB2312"/>
          <w:b w:val="0"/>
          <w:bCs w:val="0"/>
          <w:sz w:val="32"/>
          <w:szCs w:val="32"/>
          <w:highlight w:val="none"/>
          <w:lang w:val="en-US" w:eastAsia="zh-CN"/>
        </w:rPr>
        <w:t>市区及郊区非农业人口总计在20万至50万的，为中等城市</w:t>
      </w:r>
      <w:r>
        <w:rPr>
          <w:rFonts w:hint="eastAsia" w:ascii="仿宋_GB2312" w:hAnsi="仿宋_GB2312" w:eastAsia="仿宋_GB2312" w:cs="仿宋_GB2312"/>
          <w:b w:val="0"/>
          <w:bCs w:val="0"/>
          <w:sz w:val="32"/>
          <w:szCs w:val="32"/>
          <w:highlight w:val="none"/>
          <w:lang w:val="en-US" w:eastAsia="zh-CN"/>
        </w:rPr>
        <w:t>；</w:t>
      </w:r>
      <w:r>
        <w:rPr>
          <w:rFonts w:hint="default" w:ascii="仿宋_GB2312" w:hAnsi="仿宋_GB2312" w:eastAsia="仿宋_GB2312" w:cs="仿宋_GB2312"/>
          <w:b w:val="0"/>
          <w:bCs w:val="0"/>
          <w:sz w:val="32"/>
          <w:szCs w:val="32"/>
          <w:highlight w:val="none"/>
          <w:lang w:val="en-US" w:eastAsia="zh-CN"/>
        </w:rPr>
        <w:t>市区及郊区非农业人口总计在20万以下的，为小城市”。</w:t>
      </w:r>
      <w:r>
        <w:rPr>
          <w:rFonts w:hint="eastAsia" w:ascii="仿宋_GB2312" w:hAnsi="仿宋_GB2312" w:eastAsia="仿宋_GB2312" w:cs="仿宋_GB2312"/>
          <w:b w:val="0"/>
          <w:bCs w:val="0"/>
          <w:sz w:val="32"/>
          <w:szCs w:val="32"/>
          <w:highlight w:val="none"/>
          <w:lang w:val="en-US" w:eastAsia="zh-CN"/>
        </w:rPr>
        <w:t>2014年，国务院印发《国务院关于调整城市规模划分标准的通知》（国发〔2014〕51号），对城市等级的划分标准进行了调整。财政部、国家税务总局在2017年明确，仍执行《城市规划条例》中规定的对大、中、小城市划分的标准。据此，2007</w:t>
      </w:r>
      <w:r>
        <w:rPr>
          <w:rFonts w:hint="default" w:ascii="仿宋_GB2312" w:hAnsi="仿宋_GB2312" w:eastAsia="仿宋_GB2312" w:cs="仿宋_GB2312"/>
          <w:b w:val="0"/>
          <w:bCs w:val="0"/>
          <w:sz w:val="32"/>
          <w:szCs w:val="32"/>
          <w:highlight w:val="none"/>
          <w:lang w:val="en-US" w:eastAsia="zh-CN"/>
        </w:rPr>
        <w:t>年景洪市城镇户籍人口数约为</w:t>
      </w:r>
      <w:r>
        <w:rPr>
          <w:rFonts w:hint="eastAsia" w:ascii="仿宋_GB2312" w:hAnsi="仿宋_GB2312" w:eastAsia="仿宋_GB2312" w:cs="仿宋_GB2312"/>
          <w:b w:val="0"/>
          <w:bCs w:val="0"/>
          <w:sz w:val="32"/>
          <w:szCs w:val="32"/>
          <w:highlight w:val="none"/>
          <w:lang w:val="en-US" w:eastAsia="zh-CN"/>
        </w:rPr>
        <w:t>15.64万</w:t>
      </w:r>
      <w:r>
        <w:rPr>
          <w:rFonts w:hint="default" w:ascii="仿宋_GB2312" w:hAnsi="仿宋_GB2312" w:eastAsia="仿宋_GB2312" w:cs="仿宋_GB2312"/>
          <w:b w:val="0"/>
          <w:bCs w:val="0"/>
          <w:sz w:val="32"/>
          <w:szCs w:val="32"/>
          <w:highlight w:val="none"/>
          <w:lang w:val="en-US" w:eastAsia="zh-CN"/>
        </w:rPr>
        <w:t>人，</w:t>
      </w:r>
      <w:r>
        <w:rPr>
          <w:rFonts w:hint="eastAsia" w:ascii="仿宋_GB2312" w:hAnsi="仿宋_GB2312" w:eastAsia="仿宋_GB2312" w:cs="仿宋_GB2312"/>
          <w:b w:val="0"/>
          <w:bCs w:val="0"/>
          <w:sz w:val="32"/>
          <w:szCs w:val="32"/>
          <w:highlight w:val="none"/>
          <w:lang w:val="en-US" w:eastAsia="zh-CN"/>
        </w:rPr>
        <w:t>划定为小城市，执行0.9-18元平方米·年的土地使用税税额标准。2023年景洪市城镇户籍人数为22.29万人，可执行中等城市1.2-24</w:t>
      </w:r>
      <w:r>
        <w:rPr>
          <w:rFonts w:hint="default" w:ascii="仿宋_GB2312" w:hAnsi="仿宋_GB2312" w:eastAsia="仿宋_GB2312" w:cs="仿宋_GB2312"/>
          <w:b w:val="0"/>
          <w:bCs w:val="0"/>
          <w:sz w:val="32"/>
          <w:szCs w:val="32"/>
          <w:highlight w:val="none"/>
          <w:lang w:val="en-US" w:eastAsia="zh-CN"/>
        </w:rPr>
        <w:t>元/平</w:t>
      </w:r>
      <w:r>
        <w:rPr>
          <w:rFonts w:hint="eastAsia" w:ascii="仿宋_GB2312" w:hAnsi="仿宋_GB2312" w:eastAsia="仿宋_GB2312" w:cs="仿宋_GB2312"/>
          <w:b w:val="0"/>
          <w:bCs w:val="0"/>
          <w:sz w:val="32"/>
          <w:szCs w:val="32"/>
          <w:highlight w:val="none"/>
          <w:lang w:val="en-US" w:eastAsia="zh-CN"/>
        </w:rPr>
        <w:t>方米·年的标准。</w:t>
      </w:r>
    </w:p>
    <w:p>
      <w:pPr>
        <w:keepNext w:val="0"/>
        <w:keepLines w:val="0"/>
        <w:pageBreakBefore w:val="0"/>
        <w:widowControl w:val="0"/>
        <w:numPr>
          <w:ilvl w:val="0"/>
          <w:numId w:val="0"/>
        </w:numPr>
        <w:kinsoku/>
        <w:wordWrap/>
        <w:overflowPunct/>
        <w:topLinePunct w:val="0"/>
        <w:autoSpaceDE/>
        <w:autoSpaceDN/>
        <w:bidi w:val="0"/>
        <w:adjustRightInd w:val="0"/>
        <w:snapToGrid w:val="0"/>
        <w:spacing w:after="0" w:line="360" w:lineRule="auto"/>
        <w:ind w:firstLine="640" w:firstLineChars="200"/>
        <w:jc w:val="both"/>
        <w:textAlignment w:val="auto"/>
        <w:outlineLvl w:val="1"/>
        <w:rPr>
          <w:rFonts w:hint="eastAsia" w:ascii="楷体_GB2312" w:hAnsi="楷体_GB2312" w:eastAsia="楷体_GB2312" w:cs="楷体_GB2312"/>
          <w:b w:val="0"/>
          <w:bCs w:val="0"/>
          <w:sz w:val="32"/>
          <w:szCs w:val="32"/>
          <w:highlight w:val="none"/>
          <w:lang w:val="en-US" w:eastAsia="zh-CN"/>
        </w:rPr>
      </w:pPr>
      <w:bookmarkStart w:id="11" w:name="_Toc20148"/>
      <w:r>
        <w:rPr>
          <w:rFonts w:hint="eastAsia" w:ascii="楷体_GB2312" w:hAnsi="楷体_GB2312" w:eastAsia="楷体_GB2312" w:cs="楷体_GB2312"/>
          <w:b w:val="0"/>
          <w:bCs w:val="0"/>
          <w:sz w:val="32"/>
          <w:szCs w:val="32"/>
          <w:highlight w:val="none"/>
          <w:lang w:val="en-US" w:eastAsia="zh-CN"/>
        </w:rPr>
        <w:t>（三）经济发展繁荣</w:t>
      </w:r>
      <w:bookmarkEnd w:id="11"/>
    </w:p>
    <w:p>
      <w:pPr>
        <w:keepNext w:val="0"/>
        <w:keepLines w:val="0"/>
        <w:pageBreakBefore w:val="0"/>
        <w:widowControl w:val="0"/>
        <w:numPr>
          <w:ilvl w:val="0"/>
          <w:numId w:val="0"/>
        </w:numPr>
        <w:kinsoku/>
        <w:wordWrap/>
        <w:overflowPunct/>
        <w:topLinePunct w:val="0"/>
        <w:autoSpaceDE/>
        <w:autoSpaceDN/>
        <w:bidi w:val="0"/>
        <w:adjustRightInd w:val="0"/>
        <w:snapToGrid w:val="0"/>
        <w:spacing w:after="0" w:line="360" w:lineRule="auto"/>
        <w:ind w:firstLine="640" w:firstLineChars="200"/>
        <w:jc w:val="both"/>
        <w:textAlignment w:val="auto"/>
        <w:outlineLvl w:val="9"/>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与2007年制定税额的标准的基期数据相比，2023年景洪市地区生产总值从66.63亿元增加至400.04亿元，年均可比增速10.0%；第一产业增加值从13.99亿元增加至64.8亿元，年均增长5.8%；第二产业增加值从13.36亿元增加至101.32亿元，年均增长13.9%；第三产业增加值从39.28亿元增加至233.92亿元，年均增长9.9%；三次产业结构由21.0:20.0:59.0调整为16.2:25.3:58.5；人均地区生产总值从11354元增加至61093元，年均增长8.8%。景洪市两次进入全省县域经济发展十强县和全国“两山”经济发展百强县，连续6年被评为中国西部百强县。</w:t>
      </w:r>
    </w:p>
    <w:p>
      <w:pPr>
        <w:keepNext w:val="0"/>
        <w:keepLines w:val="0"/>
        <w:pageBreakBefore w:val="0"/>
        <w:widowControl w:val="0"/>
        <w:numPr>
          <w:ilvl w:val="0"/>
          <w:numId w:val="0"/>
        </w:numPr>
        <w:kinsoku/>
        <w:wordWrap/>
        <w:overflowPunct/>
        <w:topLinePunct w:val="0"/>
        <w:autoSpaceDE/>
        <w:autoSpaceDN/>
        <w:bidi w:val="0"/>
        <w:adjustRightInd w:val="0"/>
        <w:snapToGrid w:val="0"/>
        <w:spacing w:after="0" w:line="360" w:lineRule="auto"/>
        <w:ind w:firstLine="640" w:firstLineChars="200"/>
        <w:jc w:val="both"/>
        <w:textAlignment w:val="auto"/>
        <w:rPr>
          <w:rFonts w:hint="default"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持续推动营商环境争创一流。截至2023年</w:t>
      </w:r>
      <w:r>
        <w:rPr>
          <w:rFonts w:hint="default" w:ascii="仿宋_GB2312" w:hAnsi="仿宋_GB2312" w:eastAsia="仿宋_GB2312" w:cs="仿宋_GB2312"/>
          <w:b w:val="0"/>
          <w:bCs w:val="0"/>
          <w:sz w:val="32"/>
          <w:szCs w:val="32"/>
          <w:highlight w:val="none"/>
          <w:lang w:val="en-US" w:eastAsia="zh-CN"/>
        </w:rPr>
        <w:t>底</w:t>
      </w:r>
      <w:r>
        <w:rPr>
          <w:rFonts w:hint="eastAsia" w:ascii="仿宋_GB2312" w:hAnsi="仿宋_GB2312" w:eastAsia="仿宋_GB2312" w:cs="仿宋_GB2312"/>
          <w:b w:val="0"/>
          <w:bCs w:val="0"/>
          <w:sz w:val="32"/>
          <w:szCs w:val="32"/>
          <w:highlight w:val="none"/>
          <w:lang w:val="en-US" w:eastAsia="zh-CN"/>
        </w:rPr>
        <w:t>，全市实有经营主体11</w:t>
      </w:r>
      <w:r>
        <w:rPr>
          <w:rFonts w:hint="default" w:ascii="仿宋_GB2312" w:hAnsi="仿宋_GB2312" w:eastAsia="仿宋_GB2312" w:cs="仿宋_GB2312"/>
          <w:b w:val="0"/>
          <w:bCs w:val="0"/>
          <w:sz w:val="32"/>
          <w:szCs w:val="32"/>
          <w:highlight w:val="none"/>
          <w:lang w:val="en-US" w:eastAsia="zh-CN"/>
        </w:rPr>
        <w:t>.</w:t>
      </w:r>
      <w:r>
        <w:rPr>
          <w:rFonts w:hint="eastAsia" w:ascii="仿宋_GB2312" w:hAnsi="仿宋_GB2312" w:eastAsia="仿宋_GB2312" w:cs="仿宋_GB2312"/>
          <w:b w:val="0"/>
          <w:bCs w:val="0"/>
          <w:sz w:val="32"/>
          <w:szCs w:val="32"/>
          <w:highlight w:val="none"/>
          <w:lang w:val="en-US" w:eastAsia="zh-CN"/>
        </w:rPr>
        <w:t>0</w:t>
      </w:r>
      <w:r>
        <w:rPr>
          <w:rFonts w:hint="default" w:ascii="仿宋_GB2312" w:hAnsi="仿宋_GB2312" w:eastAsia="仿宋_GB2312" w:cs="仿宋_GB2312"/>
          <w:b w:val="0"/>
          <w:bCs w:val="0"/>
          <w:sz w:val="32"/>
          <w:szCs w:val="32"/>
          <w:highlight w:val="none"/>
          <w:lang w:val="en-US" w:eastAsia="zh-CN"/>
        </w:rPr>
        <w:t>7万</w:t>
      </w:r>
      <w:r>
        <w:rPr>
          <w:rFonts w:hint="eastAsia" w:ascii="仿宋_GB2312" w:hAnsi="仿宋_GB2312" w:eastAsia="仿宋_GB2312" w:cs="仿宋_GB2312"/>
          <w:b w:val="0"/>
          <w:bCs w:val="0"/>
          <w:sz w:val="32"/>
          <w:szCs w:val="32"/>
          <w:highlight w:val="none"/>
          <w:lang w:val="en-US" w:eastAsia="zh-CN"/>
        </w:rPr>
        <w:t>户，当年新增市场经营主体2.07万户、净增率21.9%。其中个体工商户8</w:t>
      </w:r>
      <w:r>
        <w:rPr>
          <w:rFonts w:hint="default" w:ascii="仿宋_GB2312" w:hAnsi="仿宋_GB2312" w:eastAsia="仿宋_GB2312" w:cs="仿宋_GB2312"/>
          <w:b w:val="0"/>
          <w:bCs w:val="0"/>
          <w:sz w:val="32"/>
          <w:szCs w:val="32"/>
          <w:highlight w:val="none"/>
          <w:lang w:val="en-US" w:eastAsia="zh-CN"/>
        </w:rPr>
        <w:t>.</w:t>
      </w:r>
      <w:r>
        <w:rPr>
          <w:rFonts w:hint="eastAsia" w:ascii="仿宋_GB2312" w:hAnsi="仿宋_GB2312" w:eastAsia="仿宋_GB2312" w:cs="仿宋_GB2312"/>
          <w:b w:val="0"/>
          <w:bCs w:val="0"/>
          <w:sz w:val="32"/>
          <w:szCs w:val="32"/>
          <w:highlight w:val="none"/>
          <w:lang w:val="en-US" w:eastAsia="zh-CN"/>
        </w:rPr>
        <w:t>88</w:t>
      </w:r>
      <w:r>
        <w:rPr>
          <w:rFonts w:hint="default" w:ascii="仿宋_GB2312" w:hAnsi="仿宋_GB2312" w:eastAsia="仿宋_GB2312" w:cs="仿宋_GB2312"/>
          <w:b w:val="0"/>
          <w:bCs w:val="0"/>
          <w:sz w:val="32"/>
          <w:szCs w:val="32"/>
          <w:highlight w:val="none"/>
          <w:lang w:val="en-US" w:eastAsia="zh-CN"/>
        </w:rPr>
        <w:t>万</w:t>
      </w:r>
      <w:r>
        <w:rPr>
          <w:rFonts w:hint="eastAsia" w:ascii="仿宋_GB2312" w:hAnsi="仿宋_GB2312" w:eastAsia="仿宋_GB2312" w:cs="仿宋_GB2312"/>
          <w:b w:val="0"/>
          <w:bCs w:val="0"/>
          <w:sz w:val="32"/>
          <w:szCs w:val="32"/>
          <w:highlight w:val="none"/>
          <w:lang w:val="en-US" w:eastAsia="zh-CN"/>
        </w:rPr>
        <w:t>户，企业2</w:t>
      </w:r>
      <w:r>
        <w:rPr>
          <w:rFonts w:hint="default" w:ascii="仿宋_GB2312" w:hAnsi="仿宋_GB2312" w:eastAsia="仿宋_GB2312" w:cs="仿宋_GB2312"/>
          <w:b w:val="0"/>
          <w:bCs w:val="0"/>
          <w:sz w:val="32"/>
          <w:szCs w:val="32"/>
          <w:highlight w:val="none"/>
          <w:lang w:val="en-US" w:eastAsia="zh-CN"/>
        </w:rPr>
        <w:t>.</w:t>
      </w:r>
      <w:r>
        <w:rPr>
          <w:rFonts w:hint="eastAsia" w:ascii="仿宋_GB2312" w:hAnsi="仿宋_GB2312" w:eastAsia="仿宋_GB2312" w:cs="仿宋_GB2312"/>
          <w:b w:val="0"/>
          <w:bCs w:val="0"/>
          <w:sz w:val="32"/>
          <w:szCs w:val="32"/>
          <w:highlight w:val="none"/>
          <w:lang w:val="en-US" w:eastAsia="zh-CN"/>
        </w:rPr>
        <w:t>12</w:t>
      </w:r>
      <w:r>
        <w:rPr>
          <w:rFonts w:hint="default" w:ascii="仿宋_GB2312" w:hAnsi="仿宋_GB2312" w:eastAsia="仿宋_GB2312" w:cs="仿宋_GB2312"/>
          <w:b w:val="0"/>
          <w:bCs w:val="0"/>
          <w:sz w:val="32"/>
          <w:szCs w:val="32"/>
          <w:highlight w:val="none"/>
          <w:lang w:val="en-US" w:eastAsia="zh-CN"/>
        </w:rPr>
        <w:t>万</w:t>
      </w:r>
      <w:r>
        <w:rPr>
          <w:rFonts w:hint="eastAsia" w:ascii="仿宋_GB2312" w:hAnsi="仿宋_GB2312" w:eastAsia="仿宋_GB2312" w:cs="仿宋_GB2312"/>
          <w:b w:val="0"/>
          <w:bCs w:val="0"/>
          <w:sz w:val="32"/>
          <w:szCs w:val="32"/>
          <w:highlight w:val="none"/>
          <w:lang w:val="en-US" w:eastAsia="zh-CN"/>
        </w:rPr>
        <w:t>户（国有、集体及其控股企业1652户；私营企业19554户），农民专业合作社624户，每千人拥有市场主体数达到166.7户，比全国、全省平均水平高31.7户。2023年，‌全市四上单位数量为326户，排全省第29位，其中当年新增“四上”企业94户。‌不断强化对民营经济高质量发展的服务保障，全市民营经济增加值254</w:t>
      </w:r>
      <w:r>
        <w:rPr>
          <w:rFonts w:hint="default" w:ascii="仿宋_GB2312" w:hAnsi="仿宋_GB2312" w:eastAsia="仿宋_GB2312" w:cs="仿宋_GB2312"/>
          <w:b w:val="0"/>
          <w:bCs w:val="0"/>
          <w:sz w:val="32"/>
          <w:szCs w:val="32"/>
          <w:highlight w:val="none"/>
          <w:lang w:val="en-US" w:eastAsia="zh-CN"/>
        </w:rPr>
        <w:t>.</w:t>
      </w:r>
      <w:r>
        <w:rPr>
          <w:rFonts w:hint="eastAsia" w:ascii="仿宋_GB2312" w:hAnsi="仿宋_GB2312" w:eastAsia="仿宋_GB2312" w:cs="仿宋_GB2312"/>
          <w:b w:val="0"/>
          <w:bCs w:val="0"/>
          <w:sz w:val="32"/>
          <w:szCs w:val="32"/>
          <w:highlight w:val="none"/>
          <w:lang w:val="en-US" w:eastAsia="zh-CN"/>
        </w:rPr>
        <w:t>38</w:t>
      </w:r>
      <w:r>
        <w:rPr>
          <w:rFonts w:hint="default" w:ascii="仿宋_GB2312" w:hAnsi="仿宋_GB2312" w:eastAsia="仿宋_GB2312" w:cs="仿宋_GB2312"/>
          <w:b w:val="0"/>
          <w:bCs w:val="0"/>
          <w:sz w:val="32"/>
          <w:szCs w:val="32"/>
          <w:highlight w:val="none"/>
          <w:lang w:val="en-US" w:eastAsia="zh-CN"/>
        </w:rPr>
        <w:t>亿元</w:t>
      </w:r>
      <w:r>
        <w:rPr>
          <w:rFonts w:hint="eastAsia" w:ascii="仿宋_GB2312" w:hAnsi="仿宋_GB2312" w:eastAsia="仿宋_GB2312" w:cs="仿宋_GB2312"/>
          <w:b w:val="0"/>
          <w:bCs w:val="0"/>
          <w:sz w:val="32"/>
          <w:szCs w:val="32"/>
          <w:highlight w:val="none"/>
          <w:lang w:val="en-US" w:eastAsia="zh-CN"/>
        </w:rPr>
        <w:t>，占全市地区生产总值的比重达63.6%，占比较全省平均水平高11.3个百分点。</w:t>
      </w:r>
    </w:p>
    <w:p>
      <w:pPr>
        <w:keepNext w:val="0"/>
        <w:keepLines w:val="0"/>
        <w:pageBreakBefore w:val="0"/>
        <w:widowControl w:val="0"/>
        <w:numPr>
          <w:ilvl w:val="0"/>
          <w:numId w:val="0"/>
        </w:numPr>
        <w:kinsoku/>
        <w:wordWrap/>
        <w:overflowPunct/>
        <w:topLinePunct w:val="0"/>
        <w:autoSpaceDE/>
        <w:autoSpaceDN/>
        <w:bidi w:val="0"/>
        <w:adjustRightInd w:val="0"/>
        <w:snapToGrid w:val="0"/>
        <w:spacing w:after="0" w:line="360" w:lineRule="auto"/>
        <w:ind w:firstLine="640" w:firstLineChars="200"/>
        <w:jc w:val="both"/>
        <w:textAlignment w:val="auto"/>
        <w:outlineLvl w:val="9"/>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房地产市场逆势上扬。2023年，景洪市入选了“全国县域旅游综合实力百强县”“中国最美县域榜单”“云南省健康美丽文明智慧幸福县城”“国家文化产业和旅游产业融合发展示范区”。良好的宜居环境，便捷的海陆空交通条件，吸引了众多房地产开发商。2023年，全市房地产开发投资房地产开发投资达</w:t>
      </w:r>
      <w:r>
        <w:rPr>
          <w:rFonts w:hint="default" w:ascii="仿宋_GB2312" w:hAnsi="仿宋_GB2312" w:eastAsia="仿宋_GB2312" w:cs="仿宋_GB2312"/>
          <w:b w:val="0"/>
          <w:bCs w:val="0"/>
          <w:sz w:val="32"/>
          <w:szCs w:val="32"/>
          <w:highlight w:val="none"/>
          <w:lang w:val="en-US" w:eastAsia="zh-CN"/>
        </w:rPr>
        <w:t>119</w:t>
      </w:r>
      <w:r>
        <w:rPr>
          <w:rFonts w:hint="eastAsia" w:ascii="仿宋_GB2312" w:hAnsi="仿宋_GB2312" w:eastAsia="仿宋_GB2312" w:cs="仿宋_GB2312"/>
          <w:b w:val="0"/>
          <w:bCs w:val="0"/>
          <w:sz w:val="32"/>
          <w:szCs w:val="32"/>
          <w:highlight w:val="none"/>
          <w:lang w:val="en-US" w:eastAsia="zh-CN"/>
        </w:rPr>
        <w:t>.</w:t>
      </w:r>
      <w:r>
        <w:rPr>
          <w:rFonts w:hint="default" w:ascii="仿宋_GB2312" w:hAnsi="仿宋_GB2312" w:eastAsia="仿宋_GB2312" w:cs="仿宋_GB2312"/>
          <w:b w:val="0"/>
          <w:bCs w:val="0"/>
          <w:sz w:val="32"/>
          <w:szCs w:val="32"/>
          <w:highlight w:val="none"/>
          <w:lang w:val="en-US" w:eastAsia="zh-CN"/>
        </w:rPr>
        <w:t>2</w:t>
      </w:r>
      <w:r>
        <w:rPr>
          <w:rFonts w:hint="eastAsia" w:ascii="仿宋_GB2312" w:hAnsi="仿宋_GB2312" w:eastAsia="仿宋_GB2312" w:cs="仿宋_GB2312"/>
          <w:b w:val="0"/>
          <w:bCs w:val="0"/>
          <w:sz w:val="32"/>
          <w:szCs w:val="32"/>
          <w:highlight w:val="none"/>
          <w:lang w:val="en-US" w:eastAsia="zh-CN"/>
        </w:rPr>
        <w:t>3亿元，是2007年的17.4倍，商品房销售面积 170.31 万平方米，是2007年的4.4倍，商品房销售均价从2093元/㎡提高到7808.2元/㎡，净增5715元，增长2.7倍；基准地价从平均每亩90.94万元到161.31万元，增长0.77倍；城镇化率从41.9%增长到60.18%，提高了18.28个百分点。</w:t>
      </w:r>
    </w:p>
    <w:p>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jc w:val="both"/>
        <w:textAlignment w:val="auto"/>
        <w:outlineLvl w:val="1"/>
        <w:rPr>
          <w:rFonts w:hint="default" w:ascii="楷体_GB2312" w:hAnsi="楷体_GB2312" w:eastAsia="楷体_GB2312" w:cs="楷体_GB2312"/>
          <w:b w:val="0"/>
          <w:bCs w:val="0"/>
          <w:sz w:val="32"/>
          <w:szCs w:val="32"/>
          <w:highlight w:val="none"/>
          <w:lang w:val="en-US" w:eastAsia="zh-CN"/>
        </w:rPr>
      </w:pPr>
      <w:bookmarkStart w:id="12" w:name="_Toc12007"/>
      <w:r>
        <w:rPr>
          <w:rFonts w:hint="eastAsia" w:ascii="楷体_GB2312" w:hAnsi="楷体_GB2312" w:eastAsia="楷体_GB2312" w:cs="楷体_GB2312"/>
          <w:b w:val="0"/>
          <w:bCs w:val="0"/>
          <w:sz w:val="32"/>
          <w:szCs w:val="32"/>
          <w:highlight w:val="none"/>
          <w:lang w:val="en-US" w:eastAsia="zh-CN"/>
        </w:rPr>
        <w:t>（四）</w:t>
      </w:r>
      <w:r>
        <w:rPr>
          <w:rFonts w:hint="default" w:ascii="楷体_GB2312" w:hAnsi="楷体_GB2312" w:eastAsia="楷体_GB2312" w:cs="楷体_GB2312"/>
          <w:b w:val="0"/>
          <w:bCs w:val="0"/>
          <w:sz w:val="32"/>
          <w:szCs w:val="32"/>
          <w:highlight w:val="none"/>
          <w:lang w:val="en-US" w:eastAsia="zh-CN"/>
        </w:rPr>
        <w:t>市政设施完善</w:t>
      </w:r>
      <w:bookmarkEnd w:id="12"/>
    </w:p>
    <w:p>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jc w:val="both"/>
        <w:textAlignment w:val="auto"/>
        <w:outlineLvl w:val="9"/>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2007年至今，财政累计投入73.6亿元资金用于市政建设。截至2023年底，景洪市建成区面积37.77平方公里，较2007年扩大了1.9倍。全市城市道路总长236.5公里、道路面积464.5万平方米，修复14条市政干道，完成23个老旧小区、13个城市更新改造和“两江一城”亮化提升工程，城市道路照明覆盖率达到100%；共有城市桥梁14座，城市公共交通体系更加完善，更新投放共享单车1.2万辆，城区停车位保有量达到8000余个。城市污水处理厂3座，污水处理能力9.6万立方米/日，执行国家一级A标排放标准，排水管道262.7公里，城市污水集中处理率达到99.6%。公共供水综合生产能力14万立方米/日，供水管道310.15公里，城市供水普及率100%。天然气管道74.3公里，供气总量335.3万立方米，液化气储气能力保持稳定，天然气普及率达到81.28%。以国家重点生态功能区、“无废城市”建设为抓手，建成污染源自动监控系统，消除污水处理设施空白区12.7平方公里，垃圾焚烧发电厂建成投用，绿色低碳循环发展经济产业综合开发项目通过生态环境部审查，全市清洁能源营运车辆达4534辆、占营运车辆总数的60.7%。雨林绿美树立标杆，2023年，实施绿美工程11万平方米，创建绿美社区24个、省级绿美乡镇1个、省级美丽村庄2个、州级绿美村庄70个，成功入选省级绿美雨林城市试点和城乡绿美工作标杆典型，“雨林景洪”成为全省五大绿美城市品牌之一。</w:t>
      </w:r>
    </w:p>
    <w:p>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jc w:val="both"/>
        <w:textAlignment w:val="auto"/>
        <w:outlineLvl w:val="1"/>
        <w:rPr>
          <w:rFonts w:hint="eastAsia" w:ascii="楷体_GB2312" w:hAnsi="楷体_GB2312" w:eastAsia="楷体_GB2312" w:cs="楷体_GB2312"/>
          <w:b w:val="0"/>
          <w:bCs w:val="0"/>
          <w:sz w:val="32"/>
          <w:szCs w:val="32"/>
          <w:highlight w:val="none"/>
          <w:lang w:val="en-US" w:eastAsia="zh-CN"/>
        </w:rPr>
      </w:pPr>
      <w:bookmarkStart w:id="13" w:name="_Toc14654"/>
      <w:r>
        <w:rPr>
          <w:rFonts w:hint="eastAsia" w:ascii="楷体_GB2312" w:hAnsi="楷体_GB2312" w:eastAsia="楷体_GB2312" w:cs="楷体_GB2312"/>
          <w:b w:val="0"/>
          <w:bCs w:val="0"/>
          <w:sz w:val="32"/>
          <w:szCs w:val="32"/>
          <w:highlight w:val="none"/>
          <w:lang w:val="en-US" w:eastAsia="zh-CN"/>
        </w:rPr>
        <w:t>（五）民生保障改善</w:t>
      </w:r>
      <w:bookmarkEnd w:id="13"/>
    </w:p>
    <w:p>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jc w:val="both"/>
        <w:textAlignment w:val="auto"/>
        <w:outlineLvl w:val="9"/>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坚持以人民为中心的发展思想，2007年至今，财政累计投入410.34亿元用于民生支出，且支出比例不断提高，近年来一直保持在75%左右。2023年，城镇新增就业3100人，登记失业率控制在5.5%以内，农村劳动力转移就业12.09万人，脱贫人口劳动力转移就业9074人，发放创业担保贷款2489万元、各类困难救助补助7769万元，基本养老和基本医疗保险参保率分别达101.9%和102.2%。参加城镇职工基本养老保险人数为14.51万人，其中，参保职工10.25万人。小学学龄儿童入学率达99.99%；小学毕业生升学率达99.7%。初中阶段教育毛入学率达104.2%。高中阶段教育毛入学率达93.8%。九年义务教育巩固率为 97.7%。健康景洪全面推进。国家卫生城市创建通过省级技术评估，年末全市共有医疗卫生机构422个，医疗卫生机构拥有床位数5629张，卫生技术人员6627人，其中执业（助理）医师2211人。各类提供住宿的社会服务机构和设施65 个，社会服务床位1003 张，各类社区服务设施204个，其中，社区服务中心14个，社区服务站183个。</w:t>
      </w:r>
    </w:p>
    <w:p>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jc w:val="both"/>
        <w:textAlignment w:val="auto"/>
        <w:outlineLvl w:val="1"/>
        <w:rPr>
          <w:rFonts w:hint="eastAsia" w:ascii="楷体_GB2312" w:hAnsi="楷体_GB2312" w:eastAsia="楷体_GB2312" w:cs="楷体_GB2312"/>
          <w:b w:val="0"/>
          <w:bCs w:val="0"/>
          <w:sz w:val="32"/>
          <w:szCs w:val="32"/>
          <w:highlight w:val="none"/>
          <w:lang w:val="en-US" w:eastAsia="zh-CN"/>
        </w:rPr>
      </w:pPr>
      <w:bookmarkStart w:id="14" w:name="_Toc25561"/>
      <w:r>
        <w:rPr>
          <w:rFonts w:hint="eastAsia" w:ascii="楷体_GB2312" w:hAnsi="楷体_GB2312" w:eastAsia="楷体_GB2312" w:cs="楷体_GB2312"/>
          <w:b w:val="0"/>
          <w:bCs w:val="0"/>
          <w:sz w:val="32"/>
          <w:szCs w:val="32"/>
          <w:highlight w:val="none"/>
          <w:lang w:val="en-US" w:eastAsia="zh-CN"/>
        </w:rPr>
        <w:t>（六）政策红利释放</w:t>
      </w:r>
      <w:bookmarkEnd w:id="14"/>
    </w:p>
    <w:p>
      <w:pPr>
        <w:keepNext w:val="0"/>
        <w:keepLines w:val="0"/>
        <w:pageBreakBefore w:val="0"/>
        <w:widowControl w:val="0"/>
        <w:numPr>
          <w:ilvl w:val="0"/>
          <w:numId w:val="0"/>
        </w:numPr>
        <w:kinsoku/>
        <w:wordWrap/>
        <w:overflowPunct/>
        <w:topLinePunct w:val="0"/>
        <w:autoSpaceDE/>
        <w:autoSpaceDN/>
        <w:bidi w:val="0"/>
        <w:adjustRightInd w:val="0"/>
        <w:snapToGrid w:val="0"/>
        <w:spacing w:after="0" w:line="360" w:lineRule="auto"/>
        <w:ind w:firstLine="640" w:firstLineChars="200"/>
        <w:jc w:val="both"/>
        <w:textAlignment w:val="auto"/>
        <w:outlineLvl w:val="9"/>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在对外开放方面，我国与70个国家共同70个国家签署了《多边税收征管互助公约》，城镇土地使用税包含在公约框架中，《公约》的签订可以在国际贸易上营造公平透明的税收环境，减轻纳税人多次、重复说明和报送材料的义务，并降低被双重征税的可能。</w:t>
      </w:r>
    </w:p>
    <w:p>
      <w:pPr>
        <w:keepNext w:val="0"/>
        <w:keepLines w:val="0"/>
        <w:pageBreakBefore w:val="0"/>
        <w:widowControl w:val="0"/>
        <w:numPr>
          <w:ilvl w:val="0"/>
          <w:numId w:val="0"/>
        </w:numPr>
        <w:kinsoku/>
        <w:wordWrap/>
        <w:overflowPunct/>
        <w:topLinePunct w:val="0"/>
        <w:autoSpaceDE/>
        <w:autoSpaceDN/>
        <w:bidi w:val="0"/>
        <w:adjustRightInd w:val="0"/>
        <w:snapToGrid w:val="0"/>
        <w:spacing w:after="0" w:line="360" w:lineRule="auto"/>
        <w:ind w:firstLine="640" w:firstLineChars="200"/>
        <w:jc w:val="both"/>
        <w:textAlignment w:val="auto"/>
        <w:outlineLvl w:val="9"/>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在国家层面上，</w:t>
      </w:r>
      <w:r>
        <w:rPr>
          <w:rFonts w:hint="default" w:ascii="仿宋_GB2312" w:hAnsi="仿宋_GB2312" w:eastAsia="仿宋_GB2312" w:cs="仿宋_GB2312"/>
          <w:b w:val="0"/>
          <w:bCs w:val="0"/>
          <w:sz w:val="32"/>
          <w:szCs w:val="32"/>
          <w:highlight w:val="none"/>
          <w:lang w:val="en-US" w:eastAsia="zh-CN"/>
        </w:rPr>
        <w:t>国家税务总局</w:t>
      </w:r>
      <w:r>
        <w:rPr>
          <w:rFonts w:hint="eastAsia" w:ascii="仿宋_GB2312" w:hAnsi="仿宋_GB2312" w:eastAsia="仿宋_GB2312" w:cs="仿宋_GB2312"/>
          <w:b w:val="0"/>
          <w:bCs w:val="0"/>
          <w:sz w:val="32"/>
          <w:szCs w:val="32"/>
          <w:highlight w:val="none"/>
          <w:lang w:val="en-US" w:eastAsia="zh-CN"/>
        </w:rPr>
        <w:t>《</w:t>
      </w:r>
      <w:r>
        <w:rPr>
          <w:rFonts w:hint="default" w:ascii="仿宋_GB2312" w:hAnsi="仿宋_GB2312" w:eastAsia="仿宋_GB2312" w:cs="仿宋_GB2312"/>
          <w:b w:val="0"/>
          <w:bCs w:val="0"/>
          <w:sz w:val="32"/>
          <w:szCs w:val="32"/>
          <w:highlight w:val="none"/>
          <w:lang w:val="en-US" w:eastAsia="zh-CN"/>
        </w:rPr>
        <w:t>关于进一步实施小微企业“六税两费”减免政策有关征管问题的公告</w:t>
      </w:r>
      <w:r>
        <w:rPr>
          <w:rFonts w:hint="eastAsia" w:ascii="仿宋_GB2312" w:hAnsi="仿宋_GB2312" w:eastAsia="仿宋_GB2312" w:cs="仿宋_GB2312"/>
          <w:b w:val="0"/>
          <w:bCs w:val="0"/>
          <w:sz w:val="32"/>
          <w:szCs w:val="32"/>
          <w:highlight w:val="none"/>
          <w:lang w:val="en-US" w:eastAsia="zh-CN"/>
        </w:rPr>
        <w:t>》（</w:t>
      </w:r>
      <w:r>
        <w:rPr>
          <w:rFonts w:hint="default" w:ascii="仿宋_GB2312" w:hAnsi="仿宋_GB2312" w:eastAsia="仿宋_GB2312" w:cs="仿宋_GB2312"/>
          <w:b w:val="0"/>
          <w:bCs w:val="0"/>
          <w:sz w:val="32"/>
          <w:szCs w:val="32"/>
          <w:highlight w:val="none"/>
          <w:lang w:val="en-US" w:eastAsia="zh-CN"/>
        </w:rPr>
        <w:t>2022年第3号</w:t>
      </w:r>
      <w:r>
        <w:rPr>
          <w:rFonts w:hint="eastAsia" w:ascii="仿宋_GB2312" w:hAnsi="仿宋_GB2312" w:eastAsia="仿宋_GB2312" w:cs="仿宋_GB2312"/>
          <w:b w:val="0"/>
          <w:bCs w:val="0"/>
          <w:sz w:val="32"/>
          <w:szCs w:val="32"/>
          <w:highlight w:val="none"/>
          <w:lang w:val="en-US" w:eastAsia="zh-CN"/>
        </w:rPr>
        <w:t>）明确，对从业人数不超过300人、资产总额不超过5000万元的小微企业，执行“六税两费”（资源税、城市维护建设税、房产税、城镇土地使用税、印花税、耕地占用税和教育费附加、地方教育附加）减免政策；财政部、税务总局《关于进一步支持小微企业和个体工商户发展有关税费政策的公告》（2023年第12号）明确，对增值税小规模纳税人、小型微利企业和个体工商户减半征收资源税、城市维护建设税、房产税、城镇土地使用税、印花税、耕地占用税和教育费附加、地方教育附加；国家税务总局《关于下放城镇土地使用税困难减免税审批权限有关事项的公告》（2014年第1号）明确，把城镇土地使用税困难减免税审批权限下放至县以上税务机关，对因风、火、水、地震等造成的严重自然灾害或其他不可抗力因素遭受重大损失、从事国家鼓励和扶持产业或社会公益事业发生严重亏损，缴纳城镇土地使用税确有困难的，可给予定期减免税；国家发展改革委等12个部门共同印发的《关于鼓励和引导民间投资进入物流领域的实施意见》（发改经贸〔2012〕1619号）明确，民营物流企业同等享受已经出台的大宗商品仓储设施用地城镇土地使用税减半征收政策。</w:t>
      </w:r>
    </w:p>
    <w:p>
      <w:pPr>
        <w:keepNext w:val="0"/>
        <w:keepLines w:val="0"/>
        <w:pageBreakBefore w:val="0"/>
        <w:widowControl w:val="0"/>
        <w:numPr>
          <w:ilvl w:val="0"/>
          <w:numId w:val="0"/>
        </w:numPr>
        <w:kinsoku/>
        <w:wordWrap/>
        <w:overflowPunct/>
        <w:topLinePunct w:val="0"/>
        <w:autoSpaceDE/>
        <w:autoSpaceDN/>
        <w:bidi w:val="0"/>
        <w:adjustRightInd w:val="0"/>
        <w:snapToGrid w:val="0"/>
        <w:spacing w:after="0" w:line="360" w:lineRule="auto"/>
        <w:ind w:firstLine="640" w:firstLineChars="200"/>
        <w:jc w:val="both"/>
        <w:textAlignment w:val="auto"/>
        <w:outlineLvl w:val="9"/>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在一流营商环境建设方面，2023年，景洪市</w:t>
      </w:r>
      <w:r>
        <w:rPr>
          <w:rFonts w:hint="default" w:ascii="仿宋_GB2312" w:hAnsi="仿宋_GB2312" w:eastAsia="仿宋_GB2312" w:cs="仿宋_GB2312"/>
          <w:b w:val="0"/>
          <w:bCs w:val="0"/>
          <w:sz w:val="32"/>
          <w:szCs w:val="32"/>
          <w:highlight w:val="none"/>
          <w:lang w:val="en-US" w:eastAsia="zh-CN"/>
        </w:rPr>
        <w:t>新政务服务大厅顺利搬迁，全面推行一网通办、一次告知、一窗受理模式，政务服务网上可办率100%、全程网办率97%，市政类项目申办提速74%、建筑类提速40%。创新投资项目帮办代办服务，帮办代办事项140件、服务项目112个。普惠小微企业贷款余额37.4亿元、增长32%，减免税费6.8亿元</w:t>
      </w:r>
      <w:r>
        <w:rPr>
          <w:rFonts w:hint="eastAsia" w:ascii="仿宋_GB2312" w:hAnsi="仿宋_GB2312" w:eastAsia="仿宋_GB2312" w:cs="仿宋_GB2312"/>
          <w:b w:val="0"/>
          <w:bCs w:val="0"/>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outlineLvl w:val="0"/>
        <w:rPr>
          <w:rFonts w:hint="eastAsia" w:ascii="黑体" w:hAnsi="黑体" w:eastAsia="黑体" w:cs="黑体"/>
          <w:b w:val="0"/>
          <w:bCs w:val="0"/>
          <w:sz w:val="32"/>
          <w:szCs w:val="32"/>
          <w:highlight w:val="none"/>
          <w:lang w:val="en-US" w:eastAsia="zh-CN"/>
        </w:rPr>
      </w:pPr>
      <w:bookmarkStart w:id="15" w:name="_Toc26583"/>
      <w:bookmarkStart w:id="16" w:name="_Toc83303086"/>
      <w:bookmarkStart w:id="17" w:name="_Toc46924040"/>
      <w:bookmarkStart w:id="18" w:name="_Toc358982883"/>
      <w:r>
        <w:rPr>
          <w:rFonts w:hint="eastAsia" w:ascii="黑体" w:hAnsi="黑体" w:eastAsia="黑体" w:cs="黑体"/>
          <w:b w:val="0"/>
          <w:bCs w:val="0"/>
          <w:sz w:val="32"/>
          <w:szCs w:val="32"/>
          <w:highlight w:val="none"/>
          <w:lang w:val="en-US" w:eastAsia="zh-CN"/>
        </w:rPr>
        <w:t>四</w:t>
      </w:r>
      <w:r>
        <w:rPr>
          <w:rFonts w:hint="eastAsia" w:ascii="黑体" w:hAnsi="黑体" w:eastAsia="黑体" w:cs="黑体"/>
          <w:b w:val="0"/>
          <w:bCs w:val="0"/>
          <w:sz w:val="32"/>
          <w:szCs w:val="32"/>
          <w:highlight w:val="none"/>
        </w:rPr>
        <w:t>、</w:t>
      </w:r>
      <w:r>
        <w:rPr>
          <w:rFonts w:hint="eastAsia" w:ascii="黑体" w:hAnsi="黑体" w:eastAsia="黑体" w:cs="黑体"/>
          <w:b w:val="0"/>
          <w:bCs w:val="0"/>
          <w:sz w:val="32"/>
          <w:szCs w:val="32"/>
          <w:highlight w:val="none"/>
          <w:lang w:val="en-US" w:eastAsia="zh-CN"/>
        </w:rPr>
        <w:t>相关县（区）经济指标比较</w:t>
      </w:r>
      <w:bookmarkEnd w:id="15"/>
    </w:p>
    <w:p>
      <w:pPr>
        <w:keepNext w:val="0"/>
        <w:keepLines w:val="0"/>
        <w:pageBreakBefore w:val="0"/>
        <w:widowControl w:val="0"/>
        <w:numPr>
          <w:ilvl w:val="0"/>
          <w:numId w:val="0"/>
        </w:numPr>
        <w:kinsoku/>
        <w:wordWrap/>
        <w:overflowPunct/>
        <w:topLinePunct w:val="0"/>
        <w:autoSpaceDE/>
        <w:autoSpaceDN/>
        <w:bidi w:val="0"/>
        <w:adjustRightInd w:val="0"/>
        <w:snapToGrid w:val="0"/>
        <w:spacing w:after="0" w:line="360" w:lineRule="auto"/>
        <w:ind w:firstLine="640" w:firstLineChars="200"/>
        <w:jc w:val="both"/>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除昆明作为省会城市所辖区（市）外，与其余5个先后调整了土地使用税税额标准的州（市）政府所在地相比，景洪市</w:t>
      </w:r>
      <w:r>
        <w:rPr>
          <w:rFonts w:hint="eastAsia" w:ascii="楷体_GB2312" w:hAnsi="楷体_GB2312" w:eastAsia="楷体_GB2312" w:cs="楷体_GB2312"/>
          <w:b w:val="0"/>
          <w:bCs w:val="0"/>
          <w:sz w:val="32"/>
          <w:szCs w:val="32"/>
          <w:highlight w:val="none"/>
          <w:lang w:val="en-US" w:eastAsia="zh-CN"/>
        </w:rPr>
        <w:t>的</w:t>
      </w:r>
      <w:r>
        <w:rPr>
          <w:rFonts w:hint="eastAsia" w:ascii="仿宋_GB2312" w:hAnsi="仿宋_GB2312" w:eastAsia="仿宋_GB2312" w:cs="仿宋_GB2312"/>
          <w:b w:val="0"/>
          <w:bCs w:val="0"/>
          <w:sz w:val="32"/>
          <w:szCs w:val="32"/>
          <w:highlight w:val="none"/>
          <w:lang w:val="en-US" w:eastAsia="zh-CN"/>
        </w:rPr>
        <w:t>经济总量排在第四位，与楚雄市有较大差距，但与蒙自市和昭阳区相比，经济总量均超过400亿元，且差距不大。从人口规模看，2023年景洪市常住人口达到66.38万人，仅次于昭阳区，但城镇化率较低，仅高于芒市，城镇化仍有较大空间。根据中办、国办2022年印发的《关于推进以县城为重要载体的城镇化建设的意见》要求，景洪市作为专业功能县城，承担着发挥专业特长，培育发展特色经济和支柱产业，发展成为文化旅游等专业功能县城，提升人口集聚能力和守边固边能力的责任，对土地的需求将进一步提高。</w:t>
      </w:r>
    </w:p>
    <w:p>
      <w:pPr>
        <w:keepNext w:val="0"/>
        <w:keepLines w:val="0"/>
        <w:pageBreakBefore w:val="0"/>
        <w:widowControl w:val="0"/>
        <w:numPr>
          <w:ilvl w:val="0"/>
          <w:numId w:val="0"/>
        </w:numPr>
        <w:kinsoku/>
        <w:wordWrap/>
        <w:overflowPunct/>
        <w:topLinePunct w:val="0"/>
        <w:autoSpaceDE/>
        <w:autoSpaceDN/>
        <w:bidi w:val="0"/>
        <w:adjustRightInd w:val="0"/>
        <w:snapToGrid w:val="0"/>
        <w:spacing w:after="0" w:line="360" w:lineRule="auto"/>
        <w:ind w:firstLine="640" w:firstLineChars="200"/>
        <w:jc w:val="both"/>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从数据看，根据各地最新公布的城区规划土地基准地价看，景洪市商业用地、住宅用地和工业用地价格均是较高的，表明供需矛盾紧张，市场需求旺盛。从土地需求最大的房地产业看，2023年景洪市商品房销售均价达到7808.2元/平方米，商品房销售面积170.31万平方米，同比增长52.5%；商品房销售额132.98亿元，增长 67.4%，实现了量价齐升，增速排全省前列，在此前提下，景洪市仍采用较低的城镇土地使用税税额标准，将会使城镇土地使用税收入与地区经济发展水平“倒挂”，实际税负严重脱离土地经济价值和出让价格，需要尽快调整标准。</w:t>
      </w:r>
    </w:p>
    <w:tbl>
      <w:tblPr>
        <w:tblStyle w:val="12"/>
        <w:tblW w:w="8645"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56"/>
        <w:gridCol w:w="1058"/>
        <w:gridCol w:w="952"/>
        <w:gridCol w:w="952"/>
        <w:gridCol w:w="1058"/>
        <w:gridCol w:w="1058"/>
        <w:gridCol w:w="1305"/>
        <w:gridCol w:w="12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5" w:hRule="atLeast"/>
          <w:jc w:val="center"/>
        </w:trPr>
        <w:tc>
          <w:tcPr>
            <w:tcW w:w="8645" w:type="dxa"/>
            <w:gridSpan w:val="8"/>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景洪市与其他州（市）中心城市相关指标比较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90" w:hRule="atLeast"/>
          <w:jc w:val="center"/>
        </w:trPr>
        <w:tc>
          <w:tcPr>
            <w:tcW w:w="10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县（市）</w:t>
            </w:r>
          </w:p>
        </w:tc>
        <w:tc>
          <w:tcPr>
            <w:tcW w:w="105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地区生产总值</w:t>
            </w:r>
          </w:p>
        </w:tc>
        <w:tc>
          <w:tcPr>
            <w:tcW w:w="95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常住人口</w:t>
            </w:r>
          </w:p>
        </w:tc>
        <w:tc>
          <w:tcPr>
            <w:tcW w:w="95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城镇化率</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商品房销售</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商业用地</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住宅用地</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工业用地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80" w:hRule="atLeast"/>
          <w:jc w:val="center"/>
        </w:trPr>
        <w:tc>
          <w:tcPr>
            <w:tcW w:w="10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10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9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9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平均价格</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基准地价</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基准地价</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基准地价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00" w:hRule="atLeast"/>
          <w:jc w:val="center"/>
        </w:trPr>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（亿元）</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（万人）</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元/㎡</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亩/万元</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亩/万元</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亩/万元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00" w:hRule="atLeast"/>
          <w:jc w:val="center"/>
        </w:trPr>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昭阳区</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455.26</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88.61</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66.93</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5990</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24.33-166.67</w:t>
            </w: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23.07-90.33</w:t>
            </w:r>
          </w:p>
        </w:tc>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12.07-25.67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0" w:hRule="atLeast"/>
          <w:jc w:val="center"/>
        </w:trPr>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楚雄市</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635.29</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61.99</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69.3</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5399</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41.2-134.0</w:t>
            </w: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40.33-101.47</w:t>
            </w:r>
          </w:p>
        </w:tc>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12.73-24.27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0" w:hRule="atLeast"/>
          <w:jc w:val="center"/>
        </w:trPr>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蒙自市</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476.49</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59.33</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75.99</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6014</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49.47-148.67</w:t>
            </w: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43.80-145.67</w:t>
            </w:r>
          </w:p>
        </w:tc>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15.53-25.0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00" w:hRule="atLeast"/>
          <w:jc w:val="center"/>
        </w:trPr>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芒市</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194.91</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46.19</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51.58</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7092</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65.67-168.67</w:t>
            </w: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58.67-165,33</w:t>
            </w:r>
          </w:p>
        </w:tc>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15.53-28.0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00" w:hRule="atLeast"/>
          <w:jc w:val="center"/>
        </w:trPr>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古城区</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229.16</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28.13</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81.8</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7328.2</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29.2-124.93</w:t>
            </w: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24.8-77.27</w:t>
            </w:r>
          </w:p>
        </w:tc>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15.0-27.07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50" w:hRule="atLeast"/>
          <w:jc w:val="center"/>
        </w:trPr>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景洪市</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400.04</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66.38</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60.18</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7808.2</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68.40-215.67</w:t>
            </w: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56.40-210.67</w:t>
            </w:r>
          </w:p>
        </w:tc>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16.93-27.0</w:t>
            </w:r>
          </w:p>
        </w:tc>
      </w:tr>
    </w:tbl>
    <w:p>
      <w:pPr>
        <w:keepNext w:val="0"/>
        <w:keepLines w:val="0"/>
        <w:pageBreakBefore w:val="0"/>
        <w:widowControl w:val="0"/>
        <w:numPr>
          <w:ilvl w:val="0"/>
          <w:numId w:val="0"/>
        </w:numPr>
        <w:kinsoku/>
        <w:wordWrap/>
        <w:overflowPunct/>
        <w:topLinePunct w:val="0"/>
        <w:autoSpaceDE/>
        <w:autoSpaceDN/>
        <w:bidi w:val="0"/>
        <w:adjustRightInd w:val="0"/>
        <w:snapToGrid w:val="0"/>
        <w:spacing w:after="0" w:line="360" w:lineRule="auto"/>
        <w:ind w:firstLine="640" w:firstLineChars="200"/>
        <w:jc w:val="both"/>
        <w:textAlignment w:val="auto"/>
        <w:rPr>
          <w:rFonts w:hint="eastAsia" w:ascii="仿宋_GB2312" w:hAnsi="仿宋_GB2312" w:eastAsia="仿宋_GB2312" w:cs="仿宋_GB2312"/>
          <w:b w:val="0"/>
          <w:bCs w:val="0"/>
          <w:sz w:val="32"/>
          <w:szCs w:val="32"/>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after="0" w:line="360" w:lineRule="auto"/>
        <w:ind w:firstLine="640" w:firstLineChars="200"/>
        <w:jc w:val="both"/>
        <w:textAlignment w:val="auto"/>
        <w:rPr>
          <w:rFonts w:hint="default"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总体看，税负低于合理水平，可能造成税源流失和过度的税收竞争，不利于地方税收稳定，低税率和低土地保有成本，可能助长土地闲置和低效使用行为。因此，在土地作为一种稀缺资源日益减少的前提下，通过合理设置土地使用税税额标准，增加税率的级次，可以更好地发挥税收调节产业投资和房地产市场的作用，增加地方财政的收入，使之成为地方财政稳定的、有潜力的税种。同时适当对商业地产和浪费土地资源的使用者加重税负，增加其持有成本，充分发挥税收对社会财富的再分配作用，可以促进全社会合理配置资产、不断优化投资结构，使非正常的价格上涨逐渐被持有成本增加而抵消，从而促进土地市场的健康成长。</w:t>
      </w:r>
    </w:p>
    <w:p>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outlineLvl w:val="0"/>
        <w:rPr>
          <w:rFonts w:hint="eastAsia" w:ascii="黑体" w:hAnsi="黑体" w:eastAsia="黑体" w:cs="黑体"/>
          <w:b w:val="0"/>
          <w:bCs w:val="0"/>
          <w:sz w:val="32"/>
          <w:szCs w:val="32"/>
          <w:highlight w:val="none"/>
          <w:lang w:val="en-US" w:eastAsia="zh-CN"/>
        </w:rPr>
      </w:pPr>
      <w:bookmarkStart w:id="19" w:name="_Toc28256"/>
      <w:r>
        <w:rPr>
          <w:rFonts w:hint="eastAsia" w:ascii="黑体" w:hAnsi="黑体" w:eastAsia="黑体" w:cs="黑体"/>
          <w:b w:val="0"/>
          <w:bCs w:val="0"/>
          <w:sz w:val="32"/>
          <w:szCs w:val="32"/>
          <w:highlight w:val="none"/>
          <w:lang w:val="en-US" w:eastAsia="zh-CN"/>
        </w:rPr>
        <w:t>五、</w:t>
      </w:r>
      <w:bookmarkEnd w:id="16"/>
      <w:bookmarkEnd w:id="17"/>
      <w:bookmarkEnd w:id="18"/>
      <w:bookmarkStart w:id="20" w:name="_Toc46924041"/>
      <w:bookmarkStart w:id="21" w:name="_Toc358982889"/>
      <w:bookmarkStart w:id="22" w:name="_Toc331965761"/>
      <w:bookmarkStart w:id="23" w:name="_Toc326006966"/>
      <w:r>
        <w:rPr>
          <w:rFonts w:hint="eastAsia" w:ascii="黑体" w:hAnsi="黑体" w:eastAsia="黑体" w:cs="黑体"/>
          <w:b w:val="0"/>
          <w:bCs w:val="0"/>
          <w:sz w:val="32"/>
          <w:szCs w:val="32"/>
          <w:highlight w:val="none"/>
          <w:lang w:val="en-US" w:eastAsia="zh-CN"/>
        </w:rPr>
        <w:t>拟调整税额标准</w:t>
      </w:r>
      <w:bookmarkEnd w:id="19"/>
    </w:p>
    <w:p>
      <w:pPr>
        <w:keepNext w:val="0"/>
        <w:keepLines w:val="0"/>
        <w:pageBreakBefore w:val="0"/>
        <w:widowControl w:val="0"/>
        <w:numPr>
          <w:ilvl w:val="0"/>
          <w:numId w:val="0"/>
        </w:numPr>
        <w:kinsoku/>
        <w:wordWrap/>
        <w:overflowPunct/>
        <w:topLinePunct w:val="0"/>
        <w:autoSpaceDE/>
        <w:autoSpaceDN/>
        <w:bidi w:val="0"/>
        <w:adjustRightInd w:val="0"/>
        <w:snapToGrid w:val="0"/>
        <w:spacing w:after="0" w:line="360" w:lineRule="auto"/>
        <w:ind w:firstLine="640" w:firstLineChars="200"/>
        <w:jc w:val="both"/>
        <w:textAlignment w:val="auto"/>
        <w:rPr>
          <w:rFonts w:hint="default"/>
          <w:lang w:val="en-US" w:eastAsia="zh-CN"/>
        </w:rPr>
      </w:pPr>
      <w:r>
        <w:rPr>
          <w:rFonts w:hint="eastAsia" w:ascii="仿宋_GB2312" w:hAnsi="仿宋_GB2312" w:eastAsia="仿宋_GB2312" w:cs="仿宋_GB2312"/>
          <w:b w:val="0"/>
          <w:bCs w:val="0"/>
          <w:sz w:val="32"/>
          <w:szCs w:val="32"/>
          <w:highlight w:val="none"/>
          <w:lang w:val="en-US" w:eastAsia="zh-CN"/>
        </w:rPr>
        <w:t>根据景洪市区位、经济发展、人口规模和市政建设情况，根据</w:t>
      </w:r>
      <w:r>
        <w:rPr>
          <w:rFonts w:hint="default" w:ascii="仿宋_GB2312" w:hAnsi="仿宋_GB2312" w:eastAsia="仿宋_GB2312" w:cs="仿宋_GB2312"/>
          <w:b w:val="0"/>
          <w:bCs w:val="0"/>
          <w:sz w:val="32"/>
          <w:szCs w:val="32"/>
          <w:highlight w:val="none"/>
          <w:lang w:val="en-US" w:eastAsia="zh-CN"/>
        </w:rPr>
        <w:t>《云南省城镇土地使用税实施办法》规定：“土地使用税每平方米年税额为中等城市2.5元至24元，建制镇、工矿区0.8元至12元”，拟将城镇土地使用税</w:t>
      </w:r>
      <w:r>
        <w:rPr>
          <w:rFonts w:hint="eastAsia" w:ascii="仿宋_GB2312" w:hAnsi="仿宋_GB2312" w:eastAsia="仿宋_GB2312" w:cs="仿宋_GB2312"/>
          <w:b w:val="0"/>
          <w:bCs w:val="0"/>
          <w:sz w:val="32"/>
          <w:szCs w:val="32"/>
          <w:highlight w:val="none"/>
          <w:lang w:val="en-US" w:eastAsia="zh-CN"/>
        </w:rPr>
        <w:t>征收</w:t>
      </w:r>
      <w:r>
        <w:rPr>
          <w:rFonts w:hint="default" w:ascii="仿宋_GB2312" w:hAnsi="仿宋_GB2312" w:eastAsia="仿宋_GB2312" w:cs="仿宋_GB2312"/>
          <w:b w:val="0"/>
          <w:bCs w:val="0"/>
          <w:sz w:val="32"/>
          <w:szCs w:val="32"/>
          <w:highlight w:val="none"/>
          <w:lang w:val="en-US" w:eastAsia="zh-CN"/>
        </w:rPr>
        <w:t>标准调整如下：</w:t>
      </w:r>
    </w:p>
    <w:tbl>
      <w:tblPr>
        <w:tblStyle w:val="12"/>
        <w:tblW w:w="8370"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190"/>
        <w:gridCol w:w="1315"/>
        <w:gridCol w:w="1583"/>
        <w:gridCol w:w="1583"/>
        <w:gridCol w:w="169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75" w:hRule="atLeast"/>
          <w:jc w:val="center"/>
        </w:trPr>
        <w:tc>
          <w:tcPr>
            <w:tcW w:w="8370" w:type="dxa"/>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景洪市城镇土地使用税征收标准调整一览表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jc w:val="center"/>
        </w:trPr>
        <w:tc>
          <w:tcPr>
            <w:tcW w:w="2190" w:type="dxa"/>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315" w:type="dxa"/>
            <w:tcBorders>
              <w:top w:val="nil"/>
              <w:left w:val="nil"/>
              <w:bottom w:val="nil"/>
              <w:right w:val="nil"/>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83" w:type="dxa"/>
            <w:tcBorders>
              <w:top w:val="nil"/>
              <w:left w:val="nil"/>
              <w:bottom w:val="nil"/>
              <w:right w:val="nil"/>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83" w:type="dxa"/>
            <w:tcBorders>
              <w:top w:val="nil"/>
              <w:left w:val="nil"/>
              <w:bottom w:val="nil"/>
              <w:right w:val="nil"/>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99"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单位：元/平方米·年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80" w:hRule="atLeast"/>
          <w:jc w:val="center"/>
        </w:trPr>
        <w:tc>
          <w:tcPr>
            <w:tcW w:w="2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区域</w:t>
            </w:r>
          </w:p>
        </w:tc>
        <w:tc>
          <w:tcPr>
            <w:tcW w:w="13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等级地段</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现执行税额</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拟调整税额</w:t>
            </w:r>
          </w:p>
        </w:tc>
        <w:tc>
          <w:tcPr>
            <w:tcW w:w="1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调整增加额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00" w:hRule="atLeast"/>
          <w:jc w:val="center"/>
        </w:trPr>
        <w:tc>
          <w:tcPr>
            <w:tcW w:w="21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景洪市城区</w:t>
            </w:r>
          </w:p>
        </w:tc>
        <w:tc>
          <w:tcPr>
            <w:tcW w:w="1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一级地段</w:t>
            </w:r>
          </w:p>
        </w:tc>
        <w:tc>
          <w:tcPr>
            <w:tcW w:w="15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5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6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00" w:hRule="atLeast"/>
          <w:jc w:val="center"/>
        </w:trPr>
        <w:tc>
          <w:tcPr>
            <w:tcW w:w="21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二级地段</w:t>
            </w:r>
          </w:p>
        </w:tc>
        <w:tc>
          <w:tcPr>
            <w:tcW w:w="15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5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6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00" w:hRule="atLeast"/>
          <w:jc w:val="center"/>
        </w:trPr>
        <w:tc>
          <w:tcPr>
            <w:tcW w:w="21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三级地段</w:t>
            </w:r>
          </w:p>
        </w:tc>
        <w:tc>
          <w:tcPr>
            <w:tcW w:w="15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5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6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00" w:hRule="atLeast"/>
          <w:jc w:val="center"/>
        </w:trPr>
        <w:tc>
          <w:tcPr>
            <w:tcW w:w="21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四级地段</w:t>
            </w:r>
          </w:p>
        </w:tc>
        <w:tc>
          <w:tcPr>
            <w:tcW w:w="15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5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6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00" w:hRule="atLeast"/>
          <w:jc w:val="center"/>
        </w:trPr>
        <w:tc>
          <w:tcPr>
            <w:tcW w:w="21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景洪市建制镇、工矿区</w:t>
            </w:r>
          </w:p>
        </w:tc>
        <w:tc>
          <w:tcPr>
            <w:tcW w:w="1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一级地段</w:t>
            </w:r>
          </w:p>
        </w:tc>
        <w:tc>
          <w:tcPr>
            <w:tcW w:w="15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5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6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00" w:hRule="atLeast"/>
          <w:jc w:val="center"/>
        </w:trPr>
        <w:tc>
          <w:tcPr>
            <w:tcW w:w="21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二级地段</w:t>
            </w:r>
          </w:p>
        </w:tc>
        <w:tc>
          <w:tcPr>
            <w:tcW w:w="15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0.8</w:t>
            </w:r>
          </w:p>
        </w:tc>
        <w:tc>
          <w:tcPr>
            <w:tcW w:w="15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6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r>
    </w:tbl>
    <w:p>
      <w:pPr>
        <w:keepNext/>
        <w:keepLines/>
        <w:pageBreakBefore w:val="0"/>
        <w:widowControl w:val="0"/>
        <w:kinsoku/>
        <w:wordWrap/>
        <w:overflowPunct/>
        <w:topLinePunct w:val="0"/>
        <w:autoSpaceDE/>
        <w:autoSpaceDN/>
        <w:bidi w:val="0"/>
        <w:adjustRightInd w:val="0"/>
        <w:snapToGrid w:val="0"/>
        <w:spacing w:line="360" w:lineRule="auto"/>
        <w:ind w:firstLine="640" w:firstLineChars="200"/>
        <w:textAlignment w:val="auto"/>
        <w:outlineLvl w:val="0"/>
        <w:rPr>
          <w:rFonts w:hint="eastAsia" w:ascii="黑体" w:hAnsi="黑体" w:eastAsia="黑体" w:cs="黑体"/>
          <w:kern w:val="0"/>
          <w:sz w:val="32"/>
          <w:szCs w:val="32"/>
          <w:highlight w:val="none"/>
          <w:lang w:val="en-US" w:eastAsia="zh-CN"/>
        </w:rPr>
      </w:pPr>
      <w:bookmarkStart w:id="24" w:name="_Toc2410"/>
      <w:r>
        <w:rPr>
          <w:rFonts w:hint="eastAsia" w:ascii="黑体" w:hAnsi="黑体" w:eastAsia="黑体" w:cs="黑体"/>
          <w:kern w:val="0"/>
          <w:sz w:val="32"/>
          <w:szCs w:val="32"/>
          <w:highlight w:val="none"/>
          <w:lang w:val="en-US" w:eastAsia="zh-CN"/>
        </w:rPr>
        <w:t>六、</w:t>
      </w:r>
      <w:bookmarkEnd w:id="20"/>
      <w:r>
        <w:rPr>
          <w:rFonts w:hint="eastAsia" w:ascii="黑体" w:hAnsi="黑体" w:eastAsia="黑体" w:cs="黑体"/>
          <w:kern w:val="0"/>
          <w:sz w:val="32"/>
          <w:szCs w:val="32"/>
          <w:highlight w:val="none"/>
          <w:lang w:val="en-US" w:eastAsia="zh-CN"/>
        </w:rPr>
        <w:t>调整前后收入情况对比</w:t>
      </w:r>
      <w:bookmarkEnd w:id="24"/>
    </w:p>
    <w:p>
      <w:pPr>
        <w:keepNext/>
        <w:keepLines/>
        <w:pageBreakBefore w:val="0"/>
        <w:widowControl w:val="0"/>
        <w:kinsoku/>
        <w:wordWrap/>
        <w:overflowPunct/>
        <w:topLinePunct w:val="0"/>
        <w:autoSpaceDE/>
        <w:autoSpaceDN/>
        <w:bidi w:val="0"/>
        <w:adjustRightInd w:val="0"/>
        <w:snapToGrid w:val="0"/>
        <w:spacing w:line="360" w:lineRule="auto"/>
        <w:ind w:firstLine="640" w:firstLineChars="200"/>
        <w:textAlignment w:val="auto"/>
        <w:outlineLvl w:val="1"/>
        <w:rPr>
          <w:rFonts w:hint="eastAsia" w:ascii="楷体_GB2312" w:hAnsi="楷体_GB2312" w:eastAsia="楷体_GB2312" w:cs="楷体_GB2312"/>
          <w:kern w:val="0"/>
          <w:sz w:val="32"/>
          <w:szCs w:val="32"/>
          <w:highlight w:val="none"/>
          <w:lang w:val="en-US" w:eastAsia="zh-CN"/>
        </w:rPr>
      </w:pPr>
      <w:bookmarkStart w:id="25" w:name="_Toc14797"/>
      <w:r>
        <w:rPr>
          <w:rFonts w:hint="eastAsia" w:ascii="楷体_GB2312" w:hAnsi="楷体_GB2312" w:eastAsia="楷体_GB2312" w:cs="楷体_GB2312"/>
          <w:kern w:val="0"/>
          <w:sz w:val="32"/>
          <w:szCs w:val="32"/>
          <w:highlight w:val="none"/>
          <w:lang w:val="en-US" w:eastAsia="zh-CN"/>
        </w:rPr>
        <w:t>（一）调整前收入情况</w:t>
      </w:r>
      <w:bookmarkEnd w:id="25"/>
    </w:p>
    <w:p>
      <w:pPr>
        <w:keepNext/>
        <w:keepLines/>
        <w:pageBreakBefore w:val="0"/>
        <w:widowControl w:val="0"/>
        <w:kinsoku/>
        <w:wordWrap/>
        <w:overflowPunct/>
        <w:topLinePunct w:val="0"/>
        <w:autoSpaceDE/>
        <w:autoSpaceDN/>
        <w:bidi w:val="0"/>
        <w:adjustRightInd w:val="0"/>
        <w:snapToGrid w:val="0"/>
        <w:spacing w:line="360" w:lineRule="auto"/>
        <w:ind w:firstLine="640" w:firstLineChars="200"/>
        <w:textAlignment w:val="auto"/>
        <w:outlineLvl w:val="9"/>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kern w:val="0"/>
          <w:sz w:val="32"/>
          <w:szCs w:val="32"/>
          <w:highlight w:val="none"/>
          <w:lang w:val="en-US" w:eastAsia="zh-CN"/>
        </w:rPr>
        <w:t>2020</w:t>
      </w:r>
      <w:r>
        <w:rPr>
          <w:rFonts w:hint="eastAsia" w:ascii="仿宋_GB2312" w:hAnsi="仿宋_GB2312" w:eastAsia="仿宋_GB2312" w:cs="仿宋_GB2312"/>
          <w:b w:val="0"/>
          <w:bCs w:val="0"/>
          <w:sz w:val="32"/>
          <w:szCs w:val="32"/>
          <w:highlight w:val="none"/>
          <w:lang w:val="en-US" w:eastAsia="zh-CN"/>
        </w:rPr>
        <w:t>年至2023年，景洪市（包含旅游度假区和工业园区）组织城镇土地使用税分别为2113.03万元、2490.68万元、2489.31万元、2216.78</w:t>
      </w:r>
      <w:r>
        <w:rPr>
          <w:rStyle w:val="15"/>
          <w:rFonts w:hint="eastAsia" w:ascii="仿宋_GB2312" w:hAnsi="仿宋_GB2312" w:eastAsia="仿宋_GB2312" w:cs="仿宋_GB2312"/>
          <w:b w:val="0"/>
          <w:bCs w:val="0"/>
          <w:sz w:val="32"/>
          <w:szCs w:val="32"/>
          <w:highlight w:val="none"/>
          <w:lang w:val="en-US" w:eastAsia="zh-CN"/>
        </w:rPr>
        <w:footnoteReference w:id="0"/>
      </w:r>
      <w:r>
        <w:rPr>
          <w:rFonts w:hint="eastAsia" w:ascii="仿宋_GB2312" w:hAnsi="仿宋_GB2312" w:eastAsia="仿宋_GB2312" w:cs="仿宋_GB2312"/>
          <w:b w:val="0"/>
          <w:bCs w:val="0"/>
          <w:sz w:val="32"/>
          <w:szCs w:val="32"/>
          <w:highlight w:val="none"/>
          <w:lang w:val="en-US" w:eastAsia="zh-CN"/>
        </w:rPr>
        <w:t>万元（含滞纳金），详见下表：</w:t>
      </w:r>
    </w:p>
    <w:tbl>
      <w:tblPr>
        <w:tblStyle w:val="12"/>
        <w:tblW w:w="9825"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829"/>
        <w:gridCol w:w="1596"/>
        <w:gridCol w:w="1596"/>
        <w:gridCol w:w="1596"/>
        <w:gridCol w:w="22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75" w:hRule="atLeast"/>
          <w:jc w:val="center"/>
        </w:trPr>
        <w:tc>
          <w:tcPr>
            <w:tcW w:w="9825" w:type="dxa"/>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2020-2023年景洪市城镇土地使用税（含度假区和工业园区）收入情况表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75" w:hRule="atLeast"/>
          <w:jc w:val="center"/>
        </w:trPr>
        <w:tc>
          <w:tcPr>
            <w:tcW w:w="2829" w:type="dxa"/>
            <w:tcBorders>
              <w:top w:val="nil"/>
              <w:left w:val="nil"/>
              <w:bottom w:val="nil"/>
              <w:right w:val="nil"/>
            </w:tcBorders>
            <w:shd w:val="clear" w:color="auto" w:fill="auto"/>
            <w:noWrap/>
            <w:vAlign w:val="center"/>
          </w:tcPr>
          <w:p>
            <w:pPr>
              <w:jc w:val="both"/>
              <w:rPr>
                <w:rFonts w:hint="eastAsia" w:ascii="宋体" w:hAnsi="宋体" w:eastAsia="宋体" w:cs="宋体"/>
                <w:i w:val="0"/>
                <w:iCs w:val="0"/>
                <w:color w:val="000000"/>
                <w:sz w:val="28"/>
                <w:szCs w:val="28"/>
                <w:u w:val="none"/>
              </w:rPr>
            </w:pPr>
          </w:p>
        </w:tc>
        <w:tc>
          <w:tcPr>
            <w:tcW w:w="1596"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596"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596"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2208"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80" w:hRule="atLeast"/>
          <w:jc w:val="center"/>
        </w:trPr>
        <w:tc>
          <w:tcPr>
            <w:tcW w:w="28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科目名称</w:t>
            </w:r>
          </w:p>
        </w:tc>
        <w:tc>
          <w:tcPr>
            <w:tcW w:w="1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2020年</w:t>
            </w:r>
          </w:p>
        </w:tc>
        <w:tc>
          <w:tcPr>
            <w:tcW w:w="1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2021年</w:t>
            </w:r>
          </w:p>
        </w:tc>
        <w:tc>
          <w:tcPr>
            <w:tcW w:w="1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2022年</w:t>
            </w:r>
          </w:p>
        </w:tc>
        <w:tc>
          <w:tcPr>
            <w:tcW w:w="22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2023年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00" w:hRule="atLeast"/>
          <w:jc w:val="center"/>
        </w:trPr>
        <w:tc>
          <w:tcPr>
            <w:tcW w:w="28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城镇土地使用税</w:t>
            </w:r>
          </w:p>
        </w:tc>
        <w:tc>
          <w:tcPr>
            <w:tcW w:w="1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2113.03</w:t>
            </w:r>
          </w:p>
        </w:tc>
        <w:tc>
          <w:tcPr>
            <w:tcW w:w="1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2490.68</w:t>
            </w:r>
          </w:p>
        </w:tc>
        <w:tc>
          <w:tcPr>
            <w:tcW w:w="1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2489.31</w:t>
            </w:r>
          </w:p>
        </w:tc>
        <w:tc>
          <w:tcPr>
            <w:tcW w:w="22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2216.78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00" w:hRule="atLeast"/>
          <w:jc w:val="center"/>
        </w:trPr>
        <w:tc>
          <w:tcPr>
            <w:tcW w:w="28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其中：一级地段</w:t>
            </w:r>
          </w:p>
        </w:tc>
        <w:tc>
          <w:tcPr>
            <w:tcW w:w="1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226.37</w:t>
            </w:r>
          </w:p>
        </w:tc>
        <w:tc>
          <w:tcPr>
            <w:tcW w:w="1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259.68</w:t>
            </w:r>
          </w:p>
        </w:tc>
        <w:tc>
          <w:tcPr>
            <w:tcW w:w="1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251.59</w:t>
            </w:r>
          </w:p>
        </w:tc>
        <w:tc>
          <w:tcPr>
            <w:tcW w:w="22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270.25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00" w:hRule="atLeast"/>
          <w:jc w:val="center"/>
        </w:trPr>
        <w:tc>
          <w:tcPr>
            <w:tcW w:w="28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二级地段</w:t>
            </w:r>
          </w:p>
        </w:tc>
        <w:tc>
          <w:tcPr>
            <w:tcW w:w="1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72.71</w:t>
            </w:r>
          </w:p>
        </w:tc>
        <w:tc>
          <w:tcPr>
            <w:tcW w:w="1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72.48</w:t>
            </w:r>
          </w:p>
        </w:tc>
        <w:tc>
          <w:tcPr>
            <w:tcW w:w="1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79.22</w:t>
            </w:r>
          </w:p>
        </w:tc>
        <w:tc>
          <w:tcPr>
            <w:tcW w:w="22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91.84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00" w:hRule="atLeast"/>
          <w:jc w:val="center"/>
        </w:trPr>
        <w:tc>
          <w:tcPr>
            <w:tcW w:w="28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三级地段</w:t>
            </w:r>
          </w:p>
        </w:tc>
        <w:tc>
          <w:tcPr>
            <w:tcW w:w="1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677.75</w:t>
            </w:r>
          </w:p>
        </w:tc>
        <w:tc>
          <w:tcPr>
            <w:tcW w:w="1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736.74</w:t>
            </w:r>
          </w:p>
        </w:tc>
        <w:tc>
          <w:tcPr>
            <w:tcW w:w="1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651.01</w:t>
            </w:r>
          </w:p>
        </w:tc>
        <w:tc>
          <w:tcPr>
            <w:tcW w:w="22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629.85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75" w:hRule="atLeast"/>
          <w:jc w:val="center"/>
        </w:trPr>
        <w:tc>
          <w:tcPr>
            <w:tcW w:w="28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四级地段</w:t>
            </w:r>
          </w:p>
        </w:tc>
        <w:tc>
          <w:tcPr>
            <w:tcW w:w="1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1007.23</w:t>
            </w:r>
          </w:p>
        </w:tc>
        <w:tc>
          <w:tcPr>
            <w:tcW w:w="1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1281.57</w:t>
            </w:r>
          </w:p>
        </w:tc>
        <w:tc>
          <w:tcPr>
            <w:tcW w:w="1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1349.13</w:t>
            </w:r>
          </w:p>
        </w:tc>
        <w:tc>
          <w:tcPr>
            <w:tcW w:w="22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952.96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00" w:hRule="atLeast"/>
          <w:jc w:val="center"/>
        </w:trPr>
        <w:tc>
          <w:tcPr>
            <w:tcW w:w="28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建制镇</w:t>
            </w:r>
          </w:p>
        </w:tc>
        <w:tc>
          <w:tcPr>
            <w:tcW w:w="1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92.53</w:t>
            </w:r>
          </w:p>
        </w:tc>
        <w:tc>
          <w:tcPr>
            <w:tcW w:w="1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78.49</w:t>
            </w:r>
          </w:p>
        </w:tc>
        <w:tc>
          <w:tcPr>
            <w:tcW w:w="1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114.53</w:t>
            </w:r>
          </w:p>
        </w:tc>
        <w:tc>
          <w:tcPr>
            <w:tcW w:w="22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224.29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jc w:val="center"/>
        </w:trPr>
        <w:tc>
          <w:tcPr>
            <w:tcW w:w="28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滞纳金</w:t>
            </w:r>
          </w:p>
        </w:tc>
        <w:tc>
          <w:tcPr>
            <w:tcW w:w="1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36.44</w:t>
            </w:r>
          </w:p>
        </w:tc>
        <w:tc>
          <w:tcPr>
            <w:tcW w:w="1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61.72</w:t>
            </w:r>
          </w:p>
        </w:tc>
        <w:tc>
          <w:tcPr>
            <w:tcW w:w="1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43.83</w:t>
            </w:r>
          </w:p>
        </w:tc>
        <w:tc>
          <w:tcPr>
            <w:tcW w:w="22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47.6</w:t>
            </w:r>
          </w:p>
        </w:tc>
      </w:tr>
    </w:tbl>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0" w:firstLineChars="200"/>
        <w:jc w:val="both"/>
        <w:textAlignment w:val="auto"/>
        <w:outlineLvl w:val="1"/>
        <w:rPr>
          <w:rFonts w:hint="eastAsia" w:ascii="楷体" w:hAnsi="楷体" w:eastAsia="楷体" w:cs="楷体"/>
          <w:sz w:val="32"/>
          <w:szCs w:val="32"/>
          <w:lang w:val="en-US" w:eastAsia="zh-CN"/>
        </w:rPr>
      </w:pPr>
      <w:bookmarkStart w:id="26" w:name="_Toc15309"/>
      <w:r>
        <w:rPr>
          <w:rFonts w:hint="eastAsia" w:ascii="楷体" w:hAnsi="楷体" w:eastAsia="楷体" w:cs="楷体"/>
          <w:sz w:val="32"/>
          <w:szCs w:val="32"/>
          <w:lang w:val="en-US" w:eastAsia="zh-CN"/>
        </w:rPr>
        <w:t>（二）调整后收入预测情况</w:t>
      </w:r>
      <w:bookmarkEnd w:id="26"/>
    </w:p>
    <w:p>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hint="eastAsia" w:ascii="仿宋_GB2312" w:hAnsi="仿宋_GB2312" w:eastAsia="仿宋_GB2312" w:cs="仿宋_GB2312"/>
          <w:b w:val="0"/>
          <w:bCs/>
          <w:color w:val="000000"/>
          <w:sz w:val="32"/>
          <w:szCs w:val="32"/>
          <w:lang w:eastAsia="zh-CN"/>
        </w:rPr>
      </w:pPr>
      <w:r>
        <w:rPr>
          <w:rFonts w:hint="eastAsia" w:ascii="仿宋_GB2312" w:hAnsi="仿宋_GB2312" w:eastAsia="仿宋_GB2312" w:cs="仿宋_GB2312"/>
          <w:b w:val="0"/>
          <w:bCs/>
          <w:color w:val="000000"/>
          <w:sz w:val="32"/>
          <w:szCs w:val="32"/>
        </w:rPr>
        <w:t>以20</w:t>
      </w:r>
      <w:r>
        <w:rPr>
          <w:rFonts w:hint="eastAsia" w:ascii="仿宋_GB2312" w:hAnsi="仿宋_GB2312" w:eastAsia="仿宋_GB2312" w:cs="仿宋_GB2312"/>
          <w:b w:val="0"/>
          <w:bCs/>
          <w:color w:val="000000"/>
          <w:sz w:val="32"/>
          <w:szCs w:val="32"/>
          <w:lang w:val="en-US" w:eastAsia="zh-CN"/>
        </w:rPr>
        <w:t>23</w:t>
      </w:r>
      <w:r>
        <w:rPr>
          <w:rFonts w:hint="eastAsia" w:ascii="仿宋_GB2312" w:hAnsi="仿宋_GB2312" w:eastAsia="仿宋_GB2312" w:cs="仿宋_GB2312"/>
          <w:b w:val="0"/>
          <w:bCs/>
          <w:color w:val="000000"/>
          <w:sz w:val="32"/>
          <w:szCs w:val="32"/>
        </w:rPr>
        <w:t>年</w:t>
      </w:r>
      <w:r>
        <w:rPr>
          <w:rFonts w:hint="eastAsia" w:ascii="仿宋_GB2312" w:hAnsi="仿宋_GB2312" w:eastAsia="仿宋_GB2312" w:cs="仿宋_GB2312"/>
          <w:b w:val="0"/>
          <w:bCs/>
          <w:color w:val="000000"/>
          <w:sz w:val="32"/>
          <w:szCs w:val="32"/>
          <w:lang w:eastAsia="zh-CN"/>
        </w:rPr>
        <w:t>景洪市（包含旅游度假区和工业园区）</w:t>
      </w:r>
      <w:r>
        <w:rPr>
          <w:rFonts w:hint="eastAsia" w:ascii="仿宋_GB2312" w:hAnsi="仿宋_GB2312" w:eastAsia="仿宋_GB2312" w:cs="仿宋_GB2312"/>
          <w:b w:val="0"/>
          <w:bCs/>
          <w:color w:val="000000"/>
          <w:sz w:val="32"/>
          <w:szCs w:val="32"/>
        </w:rPr>
        <w:t>城镇土地使用税纳税户</w:t>
      </w:r>
      <w:r>
        <w:rPr>
          <w:rFonts w:hint="eastAsia" w:ascii="仿宋_GB2312" w:hAnsi="仿宋_GB2312" w:eastAsia="仿宋_GB2312" w:cs="仿宋_GB2312"/>
          <w:b w:val="0"/>
          <w:bCs/>
          <w:color w:val="000000"/>
          <w:sz w:val="32"/>
          <w:szCs w:val="32"/>
          <w:lang w:val="en-US" w:eastAsia="zh-CN"/>
        </w:rPr>
        <w:t>8151</w:t>
      </w:r>
      <w:r>
        <w:rPr>
          <w:rFonts w:hint="eastAsia" w:ascii="仿宋_GB2312" w:hAnsi="仿宋_GB2312" w:eastAsia="仿宋_GB2312" w:cs="仿宋_GB2312"/>
          <w:b w:val="0"/>
          <w:bCs/>
          <w:color w:val="000000"/>
          <w:sz w:val="32"/>
          <w:szCs w:val="32"/>
        </w:rPr>
        <w:t>户</w:t>
      </w:r>
      <w:r>
        <w:rPr>
          <w:rFonts w:hint="eastAsia" w:ascii="仿宋_GB2312" w:hAnsi="仿宋_GB2312" w:eastAsia="仿宋_GB2312" w:cs="仿宋_GB2312"/>
          <w:b w:val="0"/>
          <w:bCs/>
          <w:color w:val="000000"/>
          <w:sz w:val="32"/>
          <w:szCs w:val="32"/>
          <w:lang w:eastAsia="zh-CN"/>
        </w:rPr>
        <w:t>次</w:t>
      </w:r>
      <w:r>
        <w:rPr>
          <w:rFonts w:hint="eastAsia" w:ascii="仿宋_GB2312" w:hAnsi="仿宋_GB2312" w:eastAsia="仿宋_GB2312" w:cs="仿宋_GB2312"/>
          <w:b w:val="0"/>
          <w:bCs/>
          <w:color w:val="000000"/>
          <w:sz w:val="32"/>
          <w:szCs w:val="32"/>
        </w:rPr>
        <w:t>、应税面积</w:t>
      </w:r>
      <w:r>
        <w:rPr>
          <w:rFonts w:hint="eastAsia" w:ascii="仿宋_GB2312" w:hAnsi="仿宋_GB2312" w:eastAsia="仿宋_GB2312" w:cs="仿宋_GB2312"/>
          <w:b w:val="0"/>
          <w:bCs/>
          <w:color w:val="000000"/>
          <w:sz w:val="32"/>
          <w:szCs w:val="32"/>
          <w:lang w:val="en-US" w:eastAsia="zh-CN"/>
        </w:rPr>
        <w:t>1568.10</w:t>
      </w:r>
      <w:r>
        <w:rPr>
          <w:rFonts w:hint="eastAsia" w:ascii="仿宋_GB2312" w:hAnsi="仿宋_GB2312" w:eastAsia="仿宋_GB2312" w:cs="仿宋_GB2312"/>
          <w:b w:val="0"/>
          <w:bCs/>
          <w:color w:val="000000"/>
          <w:sz w:val="32"/>
          <w:szCs w:val="32"/>
        </w:rPr>
        <w:t>万平方米、实缴税款</w:t>
      </w:r>
      <w:r>
        <w:rPr>
          <w:rFonts w:hint="eastAsia" w:ascii="仿宋_GB2312" w:hAnsi="仿宋_GB2312" w:eastAsia="仿宋_GB2312" w:cs="仿宋_GB2312"/>
          <w:b w:val="0"/>
          <w:bCs/>
          <w:color w:val="000000"/>
          <w:sz w:val="32"/>
          <w:szCs w:val="32"/>
          <w:lang w:val="en-US" w:eastAsia="zh-CN"/>
        </w:rPr>
        <w:t>2169.18</w:t>
      </w:r>
      <w:r>
        <w:rPr>
          <w:rFonts w:hint="eastAsia" w:ascii="仿宋_GB2312" w:hAnsi="仿宋_GB2312" w:eastAsia="仿宋_GB2312" w:cs="仿宋_GB2312"/>
          <w:b w:val="0"/>
          <w:bCs/>
          <w:color w:val="000000"/>
          <w:sz w:val="32"/>
          <w:szCs w:val="32"/>
        </w:rPr>
        <w:t>万元</w:t>
      </w:r>
      <w:r>
        <w:rPr>
          <w:rFonts w:hint="eastAsia" w:ascii="仿宋_GB2312" w:hAnsi="仿宋_GB2312" w:eastAsia="仿宋_GB2312" w:cs="仿宋_GB2312"/>
          <w:b w:val="0"/>
          <w:bCs/>
          <w:color w:val="000000"/>
          <w:sz w:val="32"/>
          <w:szCs w:val="32"/>
          <w:lang w:val="en-US" w:eastAsia="zh-CN"/>
        </w:rPr>
        <w:t>（不包含滞纳金）</w:t>
      </w:r>
      <w:r>
        <w:rPr>
          <w:rFonts w:hint="eastAsia" w:ascii="仿宋_GB2312" w:hAnsi="仿宋_GB2312" w:eastAsia="仿宋_GB2312" w:cs="仿宋_GB2312"/>
          <w:b w:val="0"/>
          <w:bCs/>
          <w:color w:val="000000"/>
          <w:sz w:val="32"/>
          <w:szCs w:val="32"/>
        </w:rPr>
        <w:t>为依据测算，</w:t>
      </w:r>
      <w:r>
        <w:rPr>
          <w:rFonts w:hint="eastAsia" w:ascii="仿宋_GB2312" w:hAnsi="仿宋_GB2312" w:eastAsia="仿宋_GB2312" w:cs="仿宋_GB2312"/>
          <w:b w:val="0"/>
          <w:bCs/>
          <w:color w:val="000000"/>
          <w:sz w:val="32"/>
          <w:szCs w:val="32"/>
          <w:lang w:eastAsia="zh-CN"/>
        </w:rPr>
        <w:t>若</w:t>
      </w:r>
      <w:r>
        <w:rPr>
          <w:rFonts w:hint="eastAsia" w:ascii="仿宋_GB2312" w:hAnsi="仿宋_GB2312" w:eastAsia="仿宋_GB2312" w:cs="仿宋_GB2312"/>
          <w:b w:val="0"/>
          <w:bCs/>
          <w:color w:val="000000"/>
          <w:sz w:val="32"/>
          <w:szCs w:val="32"/>
          <w:lang w:val="en-US" w:eastAsia="zh-CN"/>
        </w:rPr>
        <w:t>将</w:t>
      </w:r>
      <w:r>
        <w:rPr>
          <w:rFonts w:hint="eastAsia" w:ascii="仿宋_GB2312" w:hAnsi="仿宋_GB2312" w:eastAsia="仿宋_GB2312" w:cs="仿宋_GB2312"/>
          <w:b w:val="0"/>
          <w:bCs/>
          <w:color w:val="000000"/>
          <w:sz w:val="32"/>
          <w:szCs w:val="32"/>
          <w:lang w:eastAsia="zh-CN"/>
        </w:rPr>
        <w:t>城镇土地使用税税额标准</w:t>
      </w:r>
      <w:r>
        <w:rPr>
          <w:rFonts w:hint="eastAsia" w:ascii="仿宋_GB2312" w:hAnsi="仿宋_GB2312" w:eastAsia="仿宋_GB2312" w:cs="仿宋_GB2312"/>
          <w:b w:val="0"/>
          <w:bCs/>
          <w:color w:val="000000"/>
          <w:sz w:val="32"/>
          <w:szCs w:val="32"/>
          <w:lang w:val="en-US" w:eastAsia="zh-CN"/>
        </w:rPr>
        <w:t>进行调整，则</w:t>
      </w:r>
      <w:r>
        <w:rPr>
          <w:rFonts w:hint="eastAsia" w:ascii="仿宋_GB2312" w:hAnsi="仿宋_GB2312" w:eastAsia="仿宋_GB2312" w:cs="仿宋_GB2312"/>
          <w:b w:val="0"/>
          <w:bCs/>
          <w:color w:val="000000"/>
          <w:sz w:val="32"/>
          <w:szCs w:val="32"/>
          <w:lang w:eastAsia="zh-CN"/>
        </w:rPr>
        <w:t>预计每年</w:t>
      </w:r>
      <w:r>
        <w:rPr>
          <w:rFonts w:hint="eastAsia" w:ascii="仿宋_GB2312" w:hAnsi="仿宋_GB2312" w:eastAsia="仿宋_GB2312" w:cs="仿宋_GB2312"/>
          <w:b w:val="0"/>
          <w:bCs/>
          <w:color w:val="000000"/>
          <w:sz w:val="32"/>
          <w:szCs w:val="32"/>
          <w:lang w:val="en-US" w:eastAsia="zh-CN"/>
        </w:rPr>
        <w:t>将</w:t>
      </w:r>
      <w:r>
        <w:rPr>
          <w:rFonts w:hint="eastAsia" w:ascii="仿宋_GB2312" w:hAnsi="仿宋_GB2312" w:eastAsia="仿宋_GB2312" w:cs="仿宋_GB2312"/>
          <w:b w:val="0"/>
          <w:bCs/>
          <w:color w:val="000000"/>
          <w:sz w:val="32"/>
          <w:szCs w:val="32"/>
          <w:lang w:eastAsia="zh-CN"/>
        </w:rPr>
        <w:t>增加税款</w:t>
      </w:r>
      <w:r>
        <w:rPr>
          <w:rFonts w:hint="eastAsia" w:ascii="仿宋_GB2312" w:hAnsi="仿宋_GB2312" w:eastAsia="仿宋_GB2312" w:cs="仿宋_GB2312"/>
          <w:b w:val="0"/>
          <w:bCs/>
          <w:color w:val="000000"/>
          <w:sz w:val="32"/>
          <w:szCs w:val="32"/>
          <w:lang w:val="en-US" w:eastAsia="zh-CN"/>
        </w:rPr>
        <w:t>如下</w:t>
      </w:r>
      <w:r>
        <w:rPr>
          <w:rFonts w:hint="eastAsia" w:ascii="仿宋_GB2312" w:hAnsi="仿宋_GB2312" w:eastAsia="仿宋_GB2312" w:cs="仿宋_GB2312"/>
          <w:b w:val="0"/>
          <w:bCs/>
          <w:color w:val="000000"/>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240" w:lineRule="auto"/>
        <w:ind w:firstLine="3200" w:firstLineChars="1000"/>
        <w:jc w:val="both"/>
        <w:textAlignment w:val="auto"/>
        <w:rPr>
          <w:rFonts w:hint="eastAsia" w:ascii="楷体" w:hAnsi="楷体" w:eastAsia="楷体" w:cs="楷体"/>
          <w:b w:val="0"/>
          <w:bCs/>
          <w:color w:val="000000"/>
          <w:sz w:val="32"/>
          <w:szCs w:val="32"/>
          <w:lang w:val="en-US" w:eastAsia="zh-CN"/>
        </w:rPr>
      </w:pPr>
      <w:r>
        <w:rPr>
          <w:rFonts w:hint="eastAsia" w:ascii="楷体" w:hAnsi="楷体" w:eastAsia="楷体" w:cs="楷体"/>
          <w:b w:val="0"/>
          <w:bCs/>
          <w:color w:val="000000"/>
          <w:sz w:val="32"/>
          <w:szCs w:val="32"/>
          <w:lang w:val="en-US" w:eastAsia="zh-CN"/>
        </w:rPr>
        <w:t>提标前后税款测算情况表</w:t>
      </w:r>
    </w:p>
    <w:tbl>
      <w:tblPr>
        <w:tblStyle w:val="12"/>
        <w:tblW w:w="11490"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461"/>
        <w:gridCol w:w="1575"/>
        <w:gridCol w:w="1541"/>
        <w:gridCol w:w="1154"/>
        <w:gridCol w:w="1451"/>
        <w:gridCol w:w="1154"/>
        <w:gridCol w:w="115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75" w:hRule="atLeast"/>
          <w:jc w:val="center"/>
        </w:trPr>
        <w:tc>
          <w:tcPr>
            <w:tcW w:w="346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征收品目</w:t>
            </w:r>
          </w:p>
        </w:tc>
        <w:tc>
          <w:tcPr>
            <w:tcW w:w="15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计税依据</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(平方米）</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原税额</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（元/平方米）</w:t>
            </w:r>
          </w:p>
        </w:tc>
        <w:tc>
          <w:tcPr>
            <w:tcW w:w="11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2023年实缴金额</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（万元）</w:t>
            </w:r>
          </w:p>
        </w:tc>
        <w:tc>
          <w:tcPr>
            <w:tcW w:w="145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提标后税额（元/平方米）</w:t>
            </w:r>
          </w:p>
        </w:tc>
        <w:tc>
          <w:tcPr>
            <w:tcW w:w="11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提标后应征税额</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（万元）</w:t>
            </w:r>
          </w:p>
        </w:tc>
        <w:tc>
          <w:tcPr>
            <w:tcW w:w="11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预计增加税额</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80" w:hRule="atLeast"/>
          <w:jc w:val="center"/>
        </w:trPr>
        <w:tc>
          <w:tcPr>
            <w:tcW w:w="346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0"/>
                <w:szCs w:val="20"/>
                <w:u w:val="none"/>
              </w:rPr>
            </w:pPr>
          </w:p>
        </w:tc>
        <w:tc>
          <w:tcPr>
            <w:tcW w:w="15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11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14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11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11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0" w:hRule="atLeast"/>
          <w:jc w:val="center"/>
        </w:trPr>
        <w:tc>
          <w:tcPr>
            <w:tcW w:w="3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城市土地使用税等级1</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450,409.57</w:t>
            </w:r>
          </w:p>
        </w:tc>
        <w:tc>
          <w:tcPr>
            <w:tcW w:w="15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1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270.25 </w:t>
            </w:r>
          </w:p>
        </w:tc>
        <w:tc>
          <w:tcPr>
            <w:tcW w:w="14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1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810.74 </w:t>
            </w:r>
          </w:p>
        </w:tc>
        <w:tc>
          <w:tcPr>
            <w:tcW w:w="11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540.49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0" w:hRule="atLeast"/>
          <w:jc w:val="center"/>
        </w:trPr>
        <w:tc>
          <w:tcPr>
            <w:tcW w:w="3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城市土地使用税等级2</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229,591.37</w:t>
            </w:r>
          </w:p>
        </w:tc>
        <w:tc>
          <w:tcPr>
            <w:tcW w:w="15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1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91.84 </w:t>
            </w:r>
          </w:p>
        </w:tc>
        <w:tc>
          <w:tcPr>
            <w:tcW w:w="14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1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229.59 </w:t>
            </w:r>
          </w:p>
        </w:tc>
        <w:tc>
          <w:tcPr>
            <w:tcW w:w="11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137.75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00" w:hRule="atLeast"/>
          <w:jc w:val="center"/>
        </w:trPr>
        <w:tc>
          <w:tcPr>
            <w:tcW w:w="3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城市土地使用税等级3</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3,149,256.78</w:t>
            </w:r>
          </w:p>
        </w:tc>
        <w:tc>
          <w:tcPr>
            <w:tcW w:w="15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1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629.85 </w:t>
            </w:r>
          </w:p>
        </w:tc>
        <w:tc>
          <w:tcPr>
            <w:tcW w:w="14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1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1889.55 </w:t>
            </w:r>
          </w:p>
        </w:tc>
        <w:tc>
          <w:tcPr>
            <w:tcW w:w="11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1259.70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00" w:hRule="atLeast"/>
          <w:jc w:val="center"/>
        </w:trPr>
        <w:tc>
          <w:tcPr>
            <w:tcW w:w="3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城市土地使用税等级4</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9,529,580.10</w:t>
            </w:r>
          </w:p>
        </w:tc>
        <w:tc>
          <w:tcPr>
            <w:tcW w:w="15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1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952.96 </w:t>
            </w:r>
          </w:p>
        </w:tc>
        <w:tc>
          <w:tcPr>
            <w:tcW w:w="14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1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3811.83 </w:t>
            </w:r>
          </w:p>
        </w:tc>
        <w:tc>
          <w:tcPr>
            <w:tcW w:w="11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2858.87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0" w:hRule="atLeast"/>
          <w:jc w:val="center"/>
        </w:trPr>
        <w:tc>
          <w:tcPr>
            <w:tcW w:w="3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建制镇、工矿区土地使用税等级1</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1,926,042.20</w:t>
            </w:r>
          </w:p>
        </w:tc>
        <w:tc>
          <w:tcPr>
            <w:tcW w:w="15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1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192.60 </w:t>
            </w:r>
          </w:p>
        </w:tc>
        <w:tc>
          <w:tcPr>
            <w:tcW w:w="14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1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770.42 </w:t>
            </w:r>
          </w:p>
        </w:tc>
        <w:tc>
          <w:tcPr>
            <w:tcW w:w="11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577.81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00" w:hRule="atLeast"/>
          <w:jc w:val="center"/>
        </w:trPr>
        <w:tc>
          <w:tcPr>
            <w:tcW w:w="3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建制镇、工矿区土地使用税等级2</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396,086.68</w:t>
            </w:r>
          </w:p>
        </w:tc>
        <w:tc>
          <w:tcPr>
            <w:tcW w:w="15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0.8</w:t>
            </w:r>
          </w:p>
        </w:tc>
        <w:tc>
          <w:tcPr>
            <w:tcW w:w="11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31.69 </w:t>
            </w:r>
          </w:p>
        </w:tc>
        <w:tc>
          <w:tcPr>
            <w:tcW w:w="14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1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118.83 </w:t>
            </w:r>
          </w:p>
        </w:tc>
        <w:tc>
          <w:tcPr>
            <w:tcW w:w="11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87.14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jc w:val="center"/>
        </w:trPr>
        <w:tc>
          <w:tcPr>
            <w:tcW w:w="3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总计</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15,680,966.70</w:t>
            </w:r>
          </w:p>
        </w:tc>
        <w:tc>
          <w:tcPr>
            <w:tcW w:w="15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0"/>
                <w:szCs w:val="20"/>
                <w:u w:val="none"/>
              </w:rPr>
            </w:pPr>
          </w:p>
        </w:tc>
        <w:tc>
          <w:tcPr>
            <w:tcW w:w="11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2169.18 </w:t>
            </w:r>
          </w:p>
        </w:tc>
        <w:tc>
          <w:tcPr>
            <w:tcW w:w="14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7630.96 </w:t>
            </w:r>
          </w:p>
        </w:tc>
        <w:tc>
          <w:tcPr>
            <w:tcW w:w="11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5461.77 </w:t>
            </w:r>
          </w:p>
        </w:tc>
      </w:tr>
    </w:tbl>
    <w:p>
      <w:pPr>
        <w:pStyle w:val="2"/>
        <w:rPr>
          <w:rFonts w:hint="eastAsia"/>
          <w:lang w:eastAsia="zh-CN"/>
        </w:rPr>
      </w:pPr>
    </w:p>
    <w:p>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pPr>
      <w:r>
        <w:rPr>
          <w:rFonts w:hint="eastAsia" w:ascii="仿宋_GB2312" w:hAnsi="仿宋_GB2312" w:eastAsia="仿宋_GB2312" w:cs="仿宋_GB2312"/>
          <w:b w:val="0"/>
          <w:bCs/>
          <w:color w:val="000000"/>
          <w:sz w:val="32"/>
          <w:szCs w:val="32"/>
          <w:lang w:eastAsia="zh-CN"/>
        </w:rPr>
        <w:t>从上表可看出，税额提标后，预计每年预计征收土地使用税</w:t>
      </w:r>
      <w:r>
        <w:rPr>
          <w:rFonts w:hint="eastAsia" w:ascii="仿宋_GB2312" w:hAnsi="仿宋_GB2312" w:eastAsia="仿宋_GB2312" w:cs="仿宋_GB2312"/>
          <w:b w:val="0"/>
          <w:bCs/>
          <w:color w:val="000000"/>
          <w:sz w:val="32"/>
          <w:szCs w:val="32"/>
          <w:lang w:val="en-US" w:eastAsia="zh-CN"/>
        </w:rPr>
        <w:t>7631万元，</w:t>
      </w:r>
      <w:r>
        <w:rPr>
          <w:rFonts w:hint="eastAsia" w:ascii="仿宋_GB2312" w:hAnsi="仿宋_GB2312" w:eastAsia="仿宋_GB2312" w:cs="仿宋_GB2312"/>
          <w:b w:val="0"/>
          <w:bCs/>
          <w:color w:val="000000"/>
          <w:sz w:val="32"/>
          <w:szCs w:val="32"/>
          <w:lang w:eastAsia="zh-CN"/>
        </w:rPr>
        <w:t>将在原基数增加税款</w:t>
      </w:r>
      <w:r>
        <w:rPr>
          <w:rFonts w:hint="eastAsia" w:ascii="仿宋_GB2312" w:hAnsi="仿宋_GB2312" w:eastAsia="仿宋_GB2312" w:cs="仿宋_GB2312"/>
          <w:b w:val="0"/>
          <w:bCs/>
          <w:color w:val="000000"/>
          <w:sz w:val="32"/>
          <w:szCs w:val="32"/>
          <w:lang w:val="en-US" w:eastAsia="zh-CN"/>
        </w:rPr>
        <w:t>约5462万元</w:t>
      </w:r>
      <w:r>
        <w:rPr>
          <w:rFonts w:hint="eastAsia" w:ascii="仿宋_GB2312" w:hAnsi="仿宋_GB2312" w:eastAsia="仿宋_GB2312" w:cs="仿宋_GB2312"/>
          <w:b w:val="0"/>
          <w:bCs/>
          <w:color w:val="000000"/>
          <w:sz w:val="32"/>
          <w:szCs w:val="32"/>
          <w:highlight w:val="none"/>
          <w:lang w:val="en-US" w:eastAsia="zh-CN"/>
        </w:rPr>
        <w:t>。</w:t>
      </w:r>
    </w:p>
    <w:p>
      <w:pPr>
        <w:keepNext/>
        <w:keepLines/>
        <w:pageBreakBefore w:val="0"/>
        <w:widowControl w:val="0"/>
        <w:tabs>
          <w:tab w:val="left" w:pos="7780"/>
        </w:tabs>
        <w:kinsoku/>
        <w:wordWrap/>
        <w:overflowPunct/>
        <w:topLinePunct w:val="0"/>
        <w:autoSpaceDE/>
        <w:autoSpaceDN/>
        <w:bidi w:val="0"/>
        <w:adjustRightInd w:val="0"/>
        <w:snapToGrid w:val="0"/>
        <w:spacing w:line="360" w:lineRule="auto"/>
        <w:ind w:firstLine="640" w:firstLineChars="200"/>
        <w:textAlignment w:val="auto"/>
        <w:outlineLvl w:val="0"/>
        <w:rPr>
          <w:rFonts w:hint="eastAsia" w:ascii="黑体" w:hAnsi="黑体" w:eastAsia="黑体" w:cs="黑体"/>
          <w:kern w:val="0"/>
          <w:sz w:val="32"/>
          <w:szCs w:val="32"/>
          <w:highlight w:val="none"/>
          <w:lang w:eastAsia="zh-CN"/>
        </w:rPr>
      </w:pPr>
      <w:bookmarkStart w:id="27" w:name="_Toc30018"/>
      <w:bookmarkStart w:id="28" w:name="_Toc83303096"/>
      <w:r>
        <w:rPr>
          <w:rFonts w:hint="eastAsia" w:ascii="黑体" w:hAnsi="黑体" w:eastAsia="黑体" w:cs="黑体"/>
          <w:kern w:val="0"/>
          <w:sz w:val="32"/>
          <w:szCs w:val="32"/>
          <w:highlight w:val="none"/>
          <w:lang w:val="en-US" w:eastAsia="zh-CN"/>
        </w:rPr>
        <w:t>七、</w:t>
      </w:r>
      <w:r>
        <w:rPr>
          <w:rFonts w:hint="eastAsia" w:ascii="黑体" w:hAnsi="黑体" w:eastAsia="黑体" w:cs="黑体"/>
          <w:kern w:val="0"/>
          <w:sz w:val="32"/>
          <w:szCs w:val="32"/>
          <w:highlight w:val="none"/>
        </w:rPr>
        <w:t>社会稳定风险评估</w:t>
      </w:r>
      <w:bookmarkEnd w:id="27"/>
      <w:bookmarkEnd w:id="28"/>
      <w:r>
        <w:rPr>
          <w:rFonts w:hint="eastAsia" w:ascii="黑体" w:hAnsi="黑体" w:eastAsia="黑体" w:cs="黑体"/>
          <w:kern w:val="0"/>
          <w:sz w:val="32"/>
          <w:szCs w:val="32"/>
          <w:highlight w:val="none"/>
          <w:lang w:eastAsia="zh-CN"/>
        </w:rPr>
        <w:tab/>
      </w:r>
    </w:p>
    <w:bookmarkEnd w:id="21"/>
    <w:bookmarkEnd w:id="22"/>
    <w:bookmarkEnd w:id="23"/>
    <w:p>
      <w:pPr>
        <w:keepNext/>
        <w:keepLines/>
        <w:pageBreakBefore w:val="0"/>
        <w:widowControl w:val="0"/>
        <w:kinsoku/>
        <w:wordWrap/>
        <w:overflowPunct/>
        <w:topLinePunct w:val="0"/>
        <w:autoSpaceDE/>
        <w:autoSpaceDN/>
        <w:bidi w:val="0"/>
        <w:adjustRightInd w:val="0"/>
        <w:snapToGrid w:val="0"/>
        <w:spacing w:line="360" w:lineRule="auto"/>
        <w:ind w:firstLine="640" w:firstLineChars="200"/>
        <w:textAlignment w:val="auto"/>
        <w:outlineLvl w:val="9"/>
        <w:rPr>
          <w:rFonts w:hint="eastAsia" w:ascii="仿宋_GB2312" w:hAnsi="仿宋_GB2312" w:eastAsia="仿宋_GB2312" w:cs="仿宋_GB2312"/>
          <w:kern w:val="0"/>
          <w:sz w:val="32"/>
          <w:szCs w:val="32"/>
          <w:highlight w:val="none"/>
          <w:lang w:val="en-US" w:eastAsia="zh-CN"/>
        </w:rPr>
      </w:pPr>
      <w:r>
        <w:rPr>
          <w:rFonts w:hint="eastAsia" w:ascii="仿宋_GB2312" w:hAnsi="仿宋_GB2312" w:eastAsia="仿宋_GB2312" w:cs="仿宋_GB2312"/>
          <w:kern w:val="0"/>
          <w:sz w:val="32"/>
          <w:szCs w:val="32"/>
          <w:highlight w:val="none"/>
          <w:lang w:val="en-US" w:eastAsia="zh-CN"/>
        </w:rPr>
        <w:t>项目社会稳定性风险评估现已对合法性、合理性、可行性、从维护社会稳定可控性方面进行评估，目前需对项目存在的不利于社会稳定性风险的各方因素（如税额调整、级别划定等），进行综合研判及专家论证，并在项目实施过程中落实各项风险预防、化解措施。</w:t>
      </w:r>
    </w:p>
    <w:sectPr>
      <w:footerReference r:id="rId8" w:type="default"/>
      <w:footerReference r:id="rId9" w:type="even"/>
      <w:footnotePr>
        <w:numFmt w:val="decimalEnclosedCircleChinese"/>
      </w:footnotePr>
      <w:pgSz w:w="11906" w:h="16838"/>
      <w:pgMar w:top="1440" w:right="1451" w:bottom="1440" w:left="1451"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等线 Light">
    <w:panose1 w:val="02010600030101010101"/>
    <w:charset w:val="86"/>
    <w:family w:val="auto"/>
    <w:pitch w:val="default"/>
    <w:sig w:usb0="A00002BF" w:usb1="38CF7CFA" w:usb2="00000016" w:usb3="00000000" w:csb0="0004000F" w:csb1="00000000"/>
  </w:font>
  <w:font w:name="方正小标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黑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rPr>
        <w:rFonts w:ascii="仿宋_GB2312" w:eastAsia="仿宋_GB2312"/>
        <w:sz w:val="24"/>
        <w:szCs w:val="24"/>
      </w:rPr>
    </w:pPr>
    <w:r>
      <w:rPr>
        <w:rFonts w:hint="eastAsia" w:ascii="仿宋_GB2312" w:eastAsia="仿宋_GB2312"/>
        <w:sz w:val="24"/>
        <w:szCs w:val="24"/>
      </w:rPr>
      <w:fldChar w:fldCharType="begin"/>
    </w:r>
    <w:r>
      <w:rPr>
        <w:rFonts w:hint="eastAsia" w:ascii="仿宋_GB2312" w:eastAsia="仿宋_GB2312"/>
        <w:sz w:val="24"/>
        <w:szCs w:val="24"/>
      </w:rPr>
      <w:instrText xml:space="preserve">PAGE   \* MERGEFORMAT</w:instrText>
    </w:r>
    <w:r>
      <w:rPr>
        <w:rFonts w:hint="eastAsia" w:ascii="仿宋_GB2312" w:eastAsia="仿宋_GB2312"/>
        <w:sz w:val="24"/>
        <w:szCs w:val="24"/>
      </w:rPr>
      <w:fldChar w:fldCharType="separate"/>
    </w:r>
    <w:r>
      <w:rPr>
        <w:rFonts w:hint="eastAsia" w:ascii="仿宋_GB2312" w:eastAsia="仿宋_GB2312"/>
        <w:sz w:val="24"/>
        <w:szCs w:val="24"/>
        <w:lang w:val="zh-CN"/>
      </w:rPr>
      <w:t>1</w:t>
    </w:r>
    <w:r>
      <w:rPr>
        <w:rFonts w:hint="eastAsia" w:ascii="仿宋_GB2312" w:eastAsia="仿宋_GB2312"/>
        <w:sz w:val="24"/>
        <w:szCs w:val="2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ascii="仿宋_GB2312" w:eastAsia="仿宋_GB2312"/>
        <w:sz w:val="24"/>
        <w:szCs w:val="24"/>
      </w:rPr>
    </w:pPr>
    <w:r>
      <w:rPr>
        <w:rFonts w:hint="eastAsia" w:ascii="仿宋_GB2312" w:eastAsia="仿宋_GB2312"/>
        <w:sz w:val="24"/>
        <w:szCs w:val="24"/>
      </w:rPr>
      <w:fldChar w:fldCharType="begin"/>
    </w:r>
    <w:r>
      <w:rPr>
        <w:rFonts w:hint="eastAsia" w:ascii="仿宋_GB2312" w:eastAsia="仿宋_GB2312"/>
        <w:sz w:val="24"/>
        <w:szCs w:val="24"/>
      </w:rPr>
      <w:instrText xml:space="preserve">PAGE   \* MERGEFORMAT</w:instrText>
    </w:r>
    <w:r>
      <w:rPr>
        <w:rFonts w:hint="eastAsia" w:ascii="仿宋_GB2312" w:eastAsia="仿宋_GB2312"/>
        <w:sz w:val="24"/>
        <w:szCs w:val="24"/>
      </w:rPr>
      <w:fldChar w:fldCharType="separate"/>
    </w:r>
    <w:r>
      <w:rPr>
        <w:rFonts w:ascii="仿宋_GB2312" w:eastAsia="仿宋_GB2312"/>
        <w:sz w:val="24"/>
        <w:szCs w:val="24"/>
      </w:rPr>
      <w:t>- 1 -</w:t>
    </w:r>
    <w:r>
      <w:rPr>
        <w:rFonts w:hint="eastAsia" w:ascii="仿宋_GB2312" w:eastAsia="仿宋_GB2312"/>
        <w:sz w:val="24"/>
        <w:szCs w:val="24"/>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id="0">
    <w:p>
      <w:pPr>
        <w:pStyle w:val="10"/>
        <w:snapToGrid w:val="0"/>
        <w:rPr>
          <w:sz w:val="21"/>
          <w:szCs w:val="21"/>
        </w:rPr>
      </w:pPr>
      <w:r>
        <w:rPr>
          <w:rStyle w:val="15"/>
          <w:sz w:val="21"/>
          <w:szCs w:val="21"/>
        </w:rPr>
        <w:footnoteRef/>
      </w:r>
      <w:r>
        <w:rPr>
          <w:sz w:val="21"/>
          <w:szCs w:val="21"/>
        </w:rPr>
        <w:t xml:space="preserve"> </w:t>
      </w:r>
      <w:r>
        <w:rPr>
          <w:rFonts w:hint="eastAsia"/>
          <w:sz w:val="21"/>
          <w:szCs w:val="21"/>
          <w:lang w:eastAsia="zh-CN"/>
        </w:rPr>
        <w:t>取数说明：</w:t>
      </w:r>
      <w:r>
        <w:rPr>
          <w:rFonts w:hint="eastAsia"/>
          <w:sz w:val="21"/>
          <w:szCs w:val="21"/>
        </w:rPr>
        <w:t>由于2023年征期调整</w:t>
      </w:r>
      <w:r>
        <w:rPr>
          <w:rFonts w:hint="eastAsia"/>
          <w:sz w:val="21"/>
          <w:szCs w:val="21"/>
          <w:lang w:eastAsia="zh-CN"/>
        </w:rPr>
        <w:t>，</w:t>
      </w:r>
      <w:r>
        <w:rPr>
          <w:rFonts w:hint="eastAsia"/>
          <w:sz w:val="21"/>
          <w:szCs w:val="21"/>
        </w:rPr>
        <w:t>实际入库数</w:t>
      </w:r>
      <w:r>
        <w:rPr>
          <w:rFonts w:hint="eastAsia"/>
          <w:sz w:val="21"/>
          <w:szCs w:val="21"/>
          <w:lang w:eastAsia="zh-CN"/>
        </w:rPr>
        <w:t>为</w:t>
      </w:r>
      <w:r>
        <w:rPr>
          <w:rFonts w:hint="eastAsia"/>
          <w:sz w:val="21"/>
          <w:szCs w:val="21"/>
          <w:lang w:val="en-US" w:eastAsia="zh-CN"/>
        </w:rPr>
        <w:t>1215.09万元，为便于测算，2216.78万元为按照税款所属期入库数调整后的数据。</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snapToGrid w:val="0"/>
      <w:jc w:val="center"/>
      <w:rPr>
        <w:rFonts w:hint="eastAsia" w:ascii="方正小标宋_GBK" w:eastAsia="方正小标宋_GBK"/>
        <w:sz w:val="20"/>
        <w:szCs w:val="20"/>
        <w:lang w:eastAsia="zh-CN"/>
      </w:rPr>
    </w:pPr>
    <w:r>
      <w:rPr>
        <w:rFonts w:hint="eastAsia" w:ascii="方正小标宋_GBK" w:eastAsia="方正小标宋_GBK"/>
        <w:sz w:val="20"/>
        <w:szCs w:val="20"/>
      </w:rPr>
      <mc:AlternateContent>
        <mc:Choice Requires="wps">
          <w:drawing>
            <wp:anchor distT="0" distB="0" distL="114300" distR="114300" simplePos="0" relativeHeight="251659264" behindDoc="0" locked="0" layoutInCell="1" allowOverlap="1">
              <wp:simplePos x="0" y="0"/>
              <wp:positionH relativeFrom="column">
                <wp:posOffset>-13335</wp:posOffset>
              </wp:positionH>
              <wp:positionV relativeFrom="paragraph">
                <wp:posOffset>172085</wp:posOffset>
              </wp:positionV>
              <wp:extent cx="5297170" cy="0"/>
              <wp:effectExtent l="0" t="19050" r="17780" b="19050"/>
              <wp:wrapNone/>
              <wp:docPr id="2" name="直接连接符 2"/>
              <wp:cNvGraphicFramePr/>
              <a:graphic xmlns:a="http://schemas.openxmlformats.org/drawingml/2006/main">
                <a:graphicData uri="http://schemas.microsoft.com/office/word/2010/wordprocessingShape">
                  <wps:wsp>
                    <wps:cNvCnPr/>
                    <wps:spPr>
                      <a:xfrm>
                        <a:off x="0" y="0"/>
                        <a:ext cx="5295900" cy="0"/>
                      </a:xfrm>
                      <a:prstGeom prst="line">
                        <a:avLst/>
                      </a:prstGeom>
                      <a:noFill/>
                      <a:ln w="38100" cap="flat" cmpd="thinThick" algn="ctr">
                        <a:solidFill>
                          <a:sysClr val="windowText" lastClr="000000">
                            <a:shade val="95000"/>
                            <a:satMod val="105000"/>
                          </a:sysClr>
                        </a:solidFill>
                        <a:prstDash val="solid"/>
                      </a:ln>
                      <a:effectLst/>
                    </wps:spPr>
                    <wps:bodyPr/>
                  </wps:wsp>
                </a:graphicData>
              </a:graphic>
            </wp:anchor>
          </w:drawing>
        </mc:Choice>
        <mc:Fallback>
          <w:pict>
            <v:line id="_x0000_s1026" o:spid="_x0000_s1026" o:spt="20" style="position:absolute;left:0pt;margin-left:-1.05pt;margin-top:13.55pt;height:0pt;width:417.1pt;z-index:251659264;mso-width-relative:page;mso-height-relative:page;" filled="f" stroked="t" coordsize="21600,21600" o:gfxdata="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oJox&#10;RdYAAAAIAQAADwAAAAAAAAABACAAAAAiAAAAZHJzL2Rvd25yZXYueG1sUEsBAhQAFAAAAAgAh07i&#10;QLYRTvjrAQAArQMAAA4AAAAAAAAAAQAgAAAAJQEAAGRycy9lMm9Eb2MueG1sUEsFBgAAAAAGAAYA&#10;WQEAAIIFAAAAAA==&#10;">
              <v:fill on="f" focussize="0,0"/>
              <v:stroke weight="3pt" color="#000000" linestyle="thinThick" joinstyle="round"/>
              <v:imagedata o:title=""/>
              <o:lock v:ext="edit" aspectratio="f"/>
            </v:line>
          </w:pict>
        </mc:Fallback>
      </mc:AlternateContent>
    </w:r>
    <w:r>
      <w:rPr>
        <w:rFonts w:hint="eastAsia" w:ascii="方正小标宋_GBK" w:eastAsia="方正小标宋_GBK"/>
        <w:sz w:val="20"/>
        <w:szCs w:val="20"/>
        <w:lang w:eastAsia="zh-CN"/>
      </w:rPr>
      <w:t>景洪市城镇土地使用税调整税额标准（草案）</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snapToGrid w:val="0"/>
      <w:jc w:val="center"/>
      <w:rPr>
        <w:rFonts w:hint="eastAsia" w:ascii="方正小标宋_GBK" w:eastAsia="方正小标宋_GBK"/>
        <w:sz w:val="20"/>
        <w:szCs w:val="20"/>
        <w:lang w:eastAsia="zh-CN"/>
      </w:rPr>
    </w:pPr>
    <w:r>
      <w:rPr>
        <w:rFonts w:hint="eastAsia" w:ascii="方正小标宋_GBK" w:eastAsia="方正小标宋_GBK"/>
        <w:sz w:val="20"/>
        <w:szCs w:val="20"/>
      </w:rPr>
      <mc:AlternateContent>
        <mc:Choice Requires="wps">
          <w:drawing>
            <wp:anchor distT="0" distB="0" distL="114300" distR="114300" simplePos="0" relativeHeight="251660288" behindDoc="0" locked="0" layoutInCell="1" allowOverlap="1">
              <wp:simplePos x="0" y="0"/>
              <wp:positionH relativeFrom="column">
                <wp:posOffset>-13335</wp:posOffset>
              </wp:positionH>
              <wp:positionV relativeFrom="paragraph">
                <wp:posOffset>172085</wp:posOffset>
              </wp:positionV>
              <wp:extent cx="5297170" cy="0"/>
              <wp:effectExtent l="0" t="19050" r="17780" b="19050"/>
              <wp:wrapNone/>
              <wp:docPr id="1" name="直接连接符 2"/>
              <wp:cNvGraphicFramePr/>
              <a:graphic xmlns:a="http://schemas.openxmlformats.org/drawingml/2006/main">
                <a:graphicData uri="http://schemas.microsoft.com/office/word/2010/wordprocessingShape">
                  <wps:wsp>
                    <wps:cNvCnPr/>
                    <wps:spPr>
                      <a:xfrm>
                        <a:off x="0" y="0"/>
                        <a:ext cx="5295900" cy="0"/>
                      </a:xfrm>
                      <a:prstGeom prst="line">
                        <a:avLst/>
                      </a:prstGeom>
                      <a:noFill/>
                      <a:ln w="38100" cap="flat" cmpd="thinThick" algn="ctr">
                        <a:solidFill>
                          <a:sysClr val="windowText" lastClr="000000">
                            <a:shade val="95000"/>
                            <a:satMod val="105000"/>
                          </a:sysClr>
                        </a:solidFill>
                        <a:prstDash val="solid"/>
                      </a:ln>
                      <a:effectLst/>
                    </wps:spPr>
                    <wps:bodyPr/>
                  </wps:wsp>
                </a:graphicData>
              </a:graphic>
            </wp:anchor>
          </w:drawing>
        </mc:Choice>
        <mc:Fallback>
          <w:pict>
            <v:line id="直接连接符 2" o:spid="_x0000_s1026" o:spt="20" style="position:absolute;left:0pt;margin-left:-1.05pt;margin-top:13.55pt;height:0pt;width:417.1pt;z-index:251660288;mso-width-relative:page;mso-height-relative:page;" filled="f" stroked="t" coordsize="21600,21600" o:gfxdata="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KCaMUXW&#10;AAAACAEAAA8AAAAAAAAAAQAgAAAAIgAAAGRycy9kb3ducmV2LnhtbFBLAQIUABQAAAAIAIdO4kDI&#10;XOD46QEAAK0DAAAOAAAAAAAAAAEAIAAAACUBAABkcnMvZTJvRG9jLnhtbFBLBQYAAAAABgAGAFkB&#10;AACABQAAAAA=&#10;">
              <v:fill on="f" focussize="0,0"/>
              <v:stroke weight="3pt" color="#000000" linestyle="thinThick" joinstyle="round"/>
              <v:imagedata o:title=""/>
              <o:lock v:ext="edit" aspectratio="f"/>
            </v:line>
          </w:pict>
        </mc:Fallback>
      </mc:AlternateContent>
    </w:r>
    <w:r>
      <w:rPr>
        <w:rFonts w:hint="eastAsia" w:ascii="方正小标宋_GBK" w:eastAsia="方正小标宋_GBK"/>
        <w:sz w:val="20"/>
        <w:szCs w:val="20"/>
        <w:lang w:eastAsia="zh-CN"/>
      </w:rPr>
      <w:t>景洪市城镇土地使用税调整税额标准（草案）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0"/>
  <w:bordersDoNotSurroundFooter w:val="0"/>
  <w:documentProtection w:enforcement="0"/>
  <w:defaultTabStop w:val="420"/>
  <w:evenAndOddHeaders w:val="1"/>
  <w:drawingGridHorizontalSpacing w:val="105"/>
  <w:drawingGridVerticalSpacing w:val="156"/>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6443"/>
    <w:rsid w:val="00015354"/>
    <w:rsid w:val="00070C70"/>
    <w:rsid w:val="000D185E"/>
    <w:rsid w:val="000D75A7"/>
    <w:rsid w:val="00124738"/>
    <w:rsid w:val="00193C32"/>
    <w:rsid w:val="001A58A7"/>
    <w:rsid w:val="001A6CDD"/>
    <w:rsid w:val="001D0425"/>
    <w:rsid w:val="001D6039"/>
    <w:rsid w:val="002002EB"/>
    <w:rsid w:val="00217A8E"/>
    <w:rsid w:val="00226248"/>
    <w:rsid w:val="00242745"/>
    <w:rsid w:val="0027506E"/>
    <w:rsid w:val="0032648D"/>
    <w:rsid w:val="0034540F"/>
    <w:rsid w:val="003E2FAD"/>
    <w:rsid w:val="003F6EC5"/>
    <w:rsid w:val="00412C47"/>
    <w:rsid w:val="00441B22"/>
    <w:rsid w:val="00483D6D"/>
    <w:rsid w:val="00506B5C"/>
    <w:rsid w:val="00525C6E"/>
    <w:rsid w:val="00550896"/>
    <w:rsid w:val="005D18EC"/>
    <w:rsid w:val="00614DB9"/>
    <w:rsid w:val="00625A41"/>
    <w:rsid w:val="006502D8"/>
    <w:rsid w:val="00652B70"/>
    <w:rsid w:val="00664ED2"/>
    <w:rsid w:val="00695BCF"/>
    <w:rsid w:val="006C0B23"/>
    <w:rsid w:val="006E1025"/>
    <w:rsid w:val="006E4694"/>
    <w:rsid w:val="006F16BB"/>
    <w:rsid w:val="006F1CCC"/>
    <w:rsid w:val="006F5B6E"/>
    <w:rsid w:val="00753C3E"/>
    <w:rsid w:val="007555E6"/>
    <w:rsid w:val="00797C4F"/>
    <w:rsid w:val="007B4F36"/>
    <w:rsid w:val="007C6443"/>
    <w:rsid w:val="00830572"/>
    <w:rsid w:val="008349E4"/>
    <w:rsid w:val="00870437"/>
    <w:rsid w:val="00885857"/>
    <w:rsid w:val="008E1745"/>
    <w:rsid w:val="008F2ACB"/>
    <w:rsid w:val="008F63F2"/>
    <w:rsid w:val="00906D5E"/>
    <w:rsid w:val="00934D86"/>
    <w:rsid w:val="00972CA7"/>
    <w:rsid w:val="009933BC"/>
    <w:rsid w:val="00997FCF"/>
    <w:rsid w:val="009A2821"/>
    <w:rsid w:val="009F0D2F"/>
    <w:rsid w:val="009F5A66"/>
    <w:rsid w:val="00A00329"/>
    <w:rsid w:val="00A07D06"/>
    <w:rsid w:val="00A443E3"/>
    <w:rsid w:val="00A53360"/>
    <w:rsid w:val="00A53E80"/>
    <w:rsid w:val="00A7031D"/>
    <w:rsid w:val="00A95449"/>
    <w:rsid w:val="00AB2C26"/>
    <w:rsid w:val="00AC0F7C"/>
    <w:rsid w:val="00B7282F"/>
    <w:rsid w:val="00BA085A"/>
    <w:rsid w:val="00BB5B51"/>
    <w:rsid w:val="00C14083"/>
    <w:rsid w:val="00C234FB"/>
    <w:rsid w:val="00C519B9"/>
    <w:rsid w:val="00C55739"/>
    <w:rsid w:val="00CF4377"/>
    <w:rsid w:val="00D15BBC"/>
    <w:rsid w:val="00D46FDA"/>
    <w:rsid w:val="00D72477"/>
    <w:rsid w:val="00DE4810"/>
    <w:rsid w:val="00E435C5"/>
    <w:rsid w:val="00EB4EE5"/>
    <w:rsid w:val="00EC239B"/>
    <w:rsid w:val="00F016A9"/>
    <w:rsid w:val="00F55732"/>
    <w:rsid w:val="00F7135B"/>
    <w:rsid w:val="00F8191F"/>
    <w:rsid w:val="00F91B37"/>
    <w:rsid w:val="0376389E"/>
    <w:rsid w:val="074030C9"/>
    <w:rsid w:val="07AB7AEE"/>
    <w:rsid w:val="0961283C"/>
    <w:rsid w:val="0B987B57"/>
    <w:rsid w:val="0CBD22CE"/>
    <w:rsid w:val="0CE93356"/>
    <w:rsid w:val="0D601F83"/>
    <w:rsid w:val="0D762A5F"/>
    <w:rsid w:val="0EBF1C60"/>
    <w:rsid w:val="0ECB233B"/>
    <w:rsid w:val="11F249F6"/>
    <w:rsid w:val="12540997"/>
    <w:rsid w:val="13F615D6"/>
    <w:rsid w:val="14051B3F"/>
    <w:rsid w:val="14196F61"/>
    <w:rsid w:val="172B1C3F"/>
    <w:rsid w:val="17FD3D49"/>
    <w:rsid w:val="193522F3"/>
    <w:rsid w:val="1C05397A"/>
    <w:rsid w:val="1CF37470"/>
    <w:rsid w:val="1DC40E9E"/>
    <w:rsid w:val="1E0E63D8"/>
    <w:rsid w:val="1E425603"/>
    <w:rsid w:val="22B15755"/>
    <w:rsid w:val="26A1133D"/>
    <w:rsid w:val="2A49738B"/>
    <w:rsid w:val="2AA12A53"/>
    <w:rsid w:val="2BBB29F6"/>
    <w:rsid w:val="2BDA3D22"/>
    <w:rsid w:val="2C86108C"/>
    <w:rsid w:val="2E4D4CE0"/>
    <w:rsid w:val="329C32B3"/>
    <w:rsid w:val="335B76FB"/>
    <w:rsid w:val="34D912B3"/>
    <w:rsid w:val="38F77624"/>
    <w:rsid w:val="3A601F57"/>
    <w:rsid w:val="3A690EC7"/>
    <w:rsid w:val="3AB60F39"/>
    <w:rsid w:val="3ADA67FA"/>
    <w:rsid w:val="3D674D47"/>
    <w:rsid w:val="3F4D3050"/>
    <w:rsid w:val="420052C5"/>
    <w:rsid w:val="447E776F"/>
    <w:rsid w:val="48E46E2F"/>
    <w:rsid w:val="492C6950"/>
    <w:rsid w:val="497F4562"/>
    <w:rsid w:val="4B02503A"/>
    <w:rsid w:val="4B203819"/>
    <w:rsid w:val="4B601F7A"/>
    <w:rsid w:val="4EE42BCA"/>
    <w:rsid w:val="5121234C"/>
    <w:rsid w:val="51677AB5"/>
    <w:rsid w:val="525D6AED"/>
    <w:rsid w:val="54285FDC"/>
    <w:rsid w:val="54D044BA"/>
    <w:rsid w:val="55FC2F41"/>
    <w:rsid w:val="5782677A"/>
    <w:rsid w:val="5A920FA5"/>
    <w:rsid w:val="5A970944"/>
    <w:rsid w:val="5ADF1316"/>
    <w:rsid w:val="5BB42F9E"/>
    <w:rsid w:val="5D610E20"/>
    <w:rsid w:val="5E2E78BF"/>
    <w:rsid w:val="600138F9"/>
    <w:rsid w:val="60B624D1"/>
    <w:rsid w:val="63DD5C09"/>
    <w:rsid w:val="647E6F7F"/>
    <w:rsid w:val="654033A0"/>
    <w:rsid w:val="6CB72DFE"/>
    <w:rsid w:val="6E2E3502"/>
    <w:rsid w:val="6F5C0359"/>
    <w:rsid w:val="70031F52"/>
    <w:rsid w:val="721F45A7"/>
    <w:rsid w:val="73CF6B59"/>
    <w:rsid w:val="743A6477"/>
    <w:rsid w:val="74933324"/>
    <w:rsid w:val="756956F4"/>
    <w:rsid w:val="76306D47"/>
    <w:rsid w:val="76340A7C"/>
    <w:rsid w:val="7667576B"/>
    <w:rsid w:val="78D26461"/>
    <w:rsid w:val="79B228B4"/>
    <w:rsid w:val="7A1A188D"/>
    <w:rsid w:val="7E180F57"/>
    <w:rsid w:val="7E512B28"/>
    <w:rsid w:val="7EA3164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semiHidden="0"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20"/>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16"/>
    <w:qFormat/>
    <w:uiPriority w:val="0"/>
    <w:pPr>
      <w:keepNext/>
      <w:keepLines/>
      <w:spacing w:before="260" w:after="260" w:line="416" w:lineRule="auto"/>
      <w:outlineLvl w:val="1"/>
    </w:pPr>
    <w:rPr>
      <w:rFonts w:ascii="Cambria" w:hAnsi="Cambria" w:eastAsia="宋体" w:cs="Times New Roman"/>
      <w:b/>
      <w:bCs/>
      <w:kern w:val="0"/>
      <w:sz w:val="32"/>
      <w:szCs w:val="32"/>
    </w:rPr>
  </w:style>
  <w:style w:type="paragraph" w:styleId="5">
    <w:name w:val="heading 3"/>
    <w:basedOn w:val="1"/>
    <w:next w:val="1"/>
    <w:semiHidden/>
    <w:unhideWhenUsed/>
    <w:qFormat/>
    <w:uiPriority w:val="9"/>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6">
    <w:name w:val="Date"/>
    <w:basedOn w:val="1"/>
    <w:next w:val="1"/>
    <w:link w:val="22"/>
    <w:semiHidden/>
    <w:unhideWhenUsed/>
    <w:qFormat/>
    <w:uiPriority w:val="99"/>
    <w:pPr>
      <w:ind w:left="100" w:leftChars="2500"/>
    </w:pPr>
  </w:style>
  <w:style w:type="paragraph" w:styleId="7">
    <w:name w:val="footer"/>
    <w:basedOn w:val="1"/>
    <w:link w:val="19"/>
    <w:unhideWhenUsed/>
    <w:qFormat/>
    <w:uiPriority w:val="99"/>
    <w:pPr>
      <w:tabs>
        <w:tab w:val="center" w:pos="4153"/>
        <w:tab w:val="right" w:pos="8306"/>
      </w:tabs>
      <w:snapToGrid w:val="0"/>
      <w:jc w:val="left"/>
    </w:pPr>
    <w:rPr>
      <w:sz w:val="18"/>
      <w:szCs w:val="18"/>
    </w:rPr>
  </w:style>
  <w:style w:type="paragraph" w:styleId="8">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unhideWhenUsed/>
    <w:qFormat/>
    <w:uiPriority w:val="39"/>
  </w:style>
  <w:style w:type="paragraph" w:styleId="10">
    <w:name w:val="footnote text"/>
    <w:basedOn w:val="1"/>
    <w:link w:val="17"/>
    <w:semiHidden/>
    <w:unhideWhenUsed/>
    <w:qFormat/>
    <w:uiPriority w:val="99"/>
    <w:pPr>
      <w:snapToGrid w:val="0"/>
      <w:jc w:val="left"/>
    </w:pPr>
    <w:rPr>
      <w:sz w:val="18"/>
      <w:szCs w:val="18"/>
    </w:rPr>
  </w:style>
  <w:style w:type="paragraph" w:styleId="11">
    <w:name w:val="toc 2"/>
    <w:basedOn w:val="1"/>
    <w:next w:val="1"/>
    <w:unhideWhenUsed/>
    <w:qFormat/>
    <w:uiPriority w:val="39"/>
    <w:pPr>
      <w:ind w:left="420" w:leftChars="200"/>
    </w:pPr>
  </w:style>
  <w:style w:type="character" w:styleId="14">
    <w:name w:val="Hyperlink"/>
    <w:basedOn w:val="13"/>
    <w:unhideWhenUsed/>
    <w:qFormat/>
    <w:uiPriority w:val="99"/>
    <w:rPr>
      <w:color w:val="0563C1" w:themeColor="hyperlink"/>
      <w:u w:val="single"/>
      <w14:textFill>
        <w14:solidFill>
          <w14:schemeClr w14:val="hlink"/>
        </w14:solidFill>
      </w14:textFill>
    </w:rPr>
  </w:style>
  <w:style w:type="character" w:styleId="15">
    <w:name w:val="footnote reference"/>
    <w:basedOn w:val="13"/>
    <w:unhideWhenUsed/>
    <w:qFormat/>
    <w:uiPriority w:val="99"/>
    <w:rPr>
      <w:vertAlign w:val="superscript"/>
    </w:rPr>
  </w:style>
  <w:style w:type="character" w:customStyle="1" w:styleId="16">
    <w:name w:val="标题 2 字符"/>
    <w:basedOn w:val="13"/>
    <w:link w:val="4"/>
    <w:qFormat/>
    <w:uiPriority w:val="0"/>
    <w:rPr>
      <w:rFonts w:ascii="Cambria" w:hAnsi="Cambria" w:eastAsia="宋体" w:cs="Times New Roman"/>
      <w:b/>
      <w:bCs/>
      <w:kern w:val="0"/>
      <w:sz w:val="32"/>
      <w:szCs w:val="32"/>
    </w:rPr>
  </w:style>
  <w:style w:type="character" w:customStyle="1" w:styleId="17">
    <w:name w:val="脚注文本 字符"/>
    <w:basedOn w:val="13"/>
    <w:link w:val="10"/>
    <w:semiHidden/>
    <w:qFormat/>
    <w:uiPriority w:val="99"/>
    <w:rPr>
      <w:sz w:val="18"/>
      <w:szCs w:val="18"/>
    </w:rPr>
  </w:style>
  <w:style w:type="character" w:customStyle="1" w:styleId="18">
    <w:name w:val="页眉 字符"/>
    <w:basedOn w:val="13"/>
    <w:link w:val="8"/>
    <w:qFormat/>
    <w:uiPriority w:val="99"/>
    <w:rPr>
      <w:sz w:val="18"/>
      <w:szCs w:val="18"/>
    </w:rPr>
  </w:style>
  <w:style w:type="character" w:customStyle="1" w:styleId="19">
    <w:name w:val="页脚 字符"/>
    <w:basedOn w:val="13"/>
    <w:link w:val="7"/>
    <w:qFormat/>
    <w:uiPriority w:val="99"/>
    <w:rPr>
      <w:sz w:val="18"/>
      <w:szCs w:val="18"/>
    </w:rPr>
  </w:style>
  <w:style w:type="character" w:customStyle="1" w:styleId="20">
    <w:name w:val="标题 1 字符"/>
    <w:basedOn w:val="13"/>
    <w:link w:val="3"/>
    <w:qFormat/>
    <w:uiPriority w:val="9"/>
    <w:rPr>
      <w:b/>
      <w:bCs/>
      <w:kern w:val="44"/>
      <w:sz w:val="44"/>
      <w:szCs w:val="44"/>
    </w:rPr>
  </w:style>
  <w:style w:type="paragraph" w:customStyle="1" w:styleId="21">
    <w:name w:val="TOC 标题1"/>
    <w:basedOn w:val="3"/>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character" w:customStyle="1" w:styleId="22">
    <w:name w:val="日期 字符"/>
    <w:basedOn w:val="13"/>
    <w:link w:val="6"/>
    <w:semiHidden/>
    <w:qFormat/>
    <w:uiPriority w:val="99"/>
  </w:style>
  <w:style w:type="character" w:customStyle="1" w:styleId="23">
    <w:name w:val="font31"/>
    <w:basedOn w:val="13"/>
    <w:qFormat/>
    <w:uiPriority w:val="0"/>
    <w:rPr>
      <w:rFonts w:hint="eastAsia" w:ascii="宋体" w:hAnsi="宋体" w:eastAsia="宋体" w:cs="宋体"/>
      <w:b/>
      <w:bCs/>
      <w:color w:val="000000"/>
      <w:sz w:val="18"/>
      <w:szCs w:val="18"/>
      <w:u w:val="none"/>
    </w:rPr>
  </w:style>
  <w:style w:type="character" w:customStyle="1" w:styleId="24">
    <w:name w:val="font11"/>
    <w:basedOn w:val="13"/>
    <w:qFormat/>
    <w:uiPriority w:val="0"/>
    <w:rPr>
      <w:rFonts w:hint="eastAsia" w:ascii="宋体" w:hAnsi="宋体" w:eastAsia="宋体" w:cs="宋体"/>
      <w:b/>
      <w:bCs/>
      <w:color w:val="000000"/>
      <w:sz w:val="22"/>
      <w:szCs w:val="22"/>
      <w:u w:val="none"/>
    </w:rPr>
  </w:style>
  <w:style w:type="character" w:customStyle="1" w:styleId="25">
    <w:name w:val="font21"/>
    <w:basedOn w:val="13"/>
    <w:qFormat/>
    <w:uiPriority w:val="0"/>
    <w:rPr>
      <w:rFonts w:hint="eastAsia" w:ascii="宋体" w:hAnsi="宋体" w:eastAsia="宋体" w:cs="宋体"/>
      <w:b/>
      <w:bCs/>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4.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7E68E21-0FFE-4C64-84D5-3D520450B3B3}">
  <ds:schemaRefs/>
</ds:datastoreItem>
</file>

<file path=docProps/app.xml><?xml version="1.0" encoding="utf-8"?>
<Properties xmlns="http://schemas.openxmlformats.org/officeDocument/2006/extended-properties" xmlns:vt="http://schemas.openxmlformats.org/officeDocument/2006/docPropsVTypes">
  <Template>Normal</Template>
  <Pages>19</Pages>
  <Words>1261</Words>
  <Characters>7193</Characters>
  <Lines>59</Lines>
  <Paragraphs>16</Paragraphs>
  <TotalTime>7</TotalTime>
  <ScaleCrop>false</ScaleCrop>
  <LinksUpToDate>false</LinksUpToDate>
  <CharactersWithSpaces>8438</CharactersWithSpaces>
  <Application>WPS Office_11.8.6.8722_F1E327BC-269C-435d-A152-05C5408002CA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2021-09-17T13:03:00Z</dcterms:created>
  <dc:creator>15288425291@163.com</dc:creator>
  <cp:lastModifiedBy>dell</cp:lastModifiedBy>
  <cp:lastPrinted>2024-09-02T02:43:00Z</cp:lastPrinted>
  <dcterms:modified xsi:type="dcterms:W3CDTF">2024-11-08T08:36:08Z</dcterms:modified>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2052-11.8.6.8722</vt:lpwstr>
  </property>
</Properties>
</file>