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ascii="楷体" w:hAnsi="楷体" w:eastAsia="楷体" w:cs="楷体"/>
          <w:b/>
          <w:color w:val="000000" w:themeColor="text1"/>
          <w:sz w:val="28"/>
          <w:szCs w:val="28"/>
          <w14:textFill>
            <w14:solidFill>
              <w14:schemeClr w14:val="tx1"/>
            </w14:solidFill>
          </w14:textFill>
        </w:rPr>
      </w:pPr>
      <w:r>
        <w:rPr>
          <w:rFonts w:hint="eastAsia" w:ascii="楷体" w:hAnsi="楷体" w:eastAsia="楷体" w:cs="楷体"/>
          <w:b/>
          <w:color w:val="000000" w:themeColor="text1"/>
          <w:sz w:val="28"/>
          <w:szCs w:val="28"/>
          <w14:textFill>
            <w14:solidFill>
              <w14:schemeClr w14:val="tx1"/>
            </w14:solidFill>
          </w14:textFill>
        </w:rPr>
        <w:t>预案编号：</w:t>
      </w:r>
    </w:p>
    <w:p>
      <w:pPr>
        <w:ind w:firstLine="0" w:firstLineChars="0"/>
        <w:rPr>
          <w:rFonts w:hint="eastAsia" w:ascii="楷体" w:hAnsi="楷体" w:eastAsia="楷体" w:cs="楷体"/>
          <w:color w:val="000000" w:themeColor="text1"/>
          <w:sz w:val="28"/>
          <w:szCs w:val="28"/>
          <w14:textFill>
            <w14:solidFill>
              <w14:schemeClr w14:val="tx1"/>
            </w14:solidFill>
          </w14:textFill>
        </w:rPr>
      </w:pPr>
    </w:p>
    <w:p>
      <w:pPr>
        <w:snapToGrid w:val="0"/>
        <w:spacing w:line="360" w:lineRule="auto"/>
        <w:ind w:firstLine="0" w:firstLineChars="0"/>
        <w:jc w:val="center"/>
        <w:rPr>
          <w:rFonts w:hint="eastAsia" w:ascii="楷体" w:hAnsi="楷体" w:eastAsia="楷体" w:cs="楷体"/>
          <w:b/>
          <w:color w:val="000000" w:themeColor="text1"/>
          <w:sz w:val="36"/>
          <w:szCs w:val="36"/>
          <w14:textFill>
            <w14:solidFill>
              <w14:schemeClr w14:val="tx1"/>
            </w14:solidFill>
          </w14:textFill>
        </w:rPr>
      </w:pPr>
      <w:r>
        <w:rPr>
          <w:rFonts w:hint="eastAsia" w:ascii="楷体" w:hAnsi="楷体" w:eastAsia="楷体" w:cs="楷体"/>
          <w:b/>
          <w:color w:val="000000" w:themeColor="text1"/>
          <w:sz w:val="36"/>
          <w:szCs w:val="36"/>
          <w14:textFill>
            <w14:solidFill>
              <w14:schemeClr w14:val="tx1"/>
            </w14:solidFill>
          </w14:textFill>
        </w:rPr>
        <w:t>云南安宁泰源工贸集团有限公司景洪分公司</w:t>
      </w:r>
      <w:r>
        <w:rPr>
          <w:rFonts w:hint="eastAsia" w:ascii="楷体" w:hAnsi="楷体" w:eastAsia="楷体" w:cs="楷体"/>
          <w:b/>
          <w:color w:val="000000" w:themeColor="text1"/>
          <w:sz w:val="36"/>
          <w:szCs w:val="36"/>
          <w:lang w:val="en-US" w:eastAsia="zh-CN"/>
          <w14:textFill>
            <w14:solidFill>
              <w14:schemeClr w14:val="tx1"/>
            </w14:solidFill>
          </w14:textFill>
        </w:rPr>
        <w:t>尾矿库</w:t>
      </w:r>
      <w:r>
        <w:rPr>
          <w:rFonts w:hint="eastAsia" w:ascii="楷体" w:hAnsi="楷体" w:eastAsia="楷体" w:cs="楷体"/>
          <w:b/>
          <w:color w:val="000000" w:themeColor="text1"/>
          <w:sz w:val="36"/>
          <w:szCs w:val="36"/>
          <w14:textFill>
            <w14:solidFill>
              <w14:schemeClr w14:val="tx1"/>
            </w14:solidFill>
          </w14:textFill>
        </w:rPr>
        <w:t>突发环境事件应急预案</w:t>
      </w:r>
    </w:p>
    <w:p>
      <w:pPr>
        <w:snapToGrid w:val="0"/>
        <w:spacing w:line="360" w:lineRule="auto"/>
        <w:ind w:firstLine="0" w:firstLineChars="0"/>
        <w:jc w:val="center"/>
        <w:rPr>
          <w:rFonts w:hint="default" w:ascii="楷体" w:hAnsi="楷体" w:eastAsia="楷体" w:cs="楷体"/>
          <w:color w:val="000000" w:themeColor="text1"/>
          <w:sz w:val="36"/>
          <w:szCs w:val="36"/>
          <w:lang w:val="en-US" w:eastAsia="zh-CN"/>
          <w14:textFill>
            <w14:solidFill>
              <w14:schemeClr w14:val="tx1"/>
            </w14:solidFill>
          </w14:textFill>
        </w:rPr>
      </w:pPr>
      <w:r>
        <w:rPr>
          <w:rFonts w:hint="eastAsia" w:ascii="楷体" w:hAnsi="楷体" w:eastAsia="楷体" w:cs="楷体"/>
          <w:b/>
          <w:bCs/>
          <w:color w:val="000000" w:themeColor="text1"/>
          <w:sz w:val="36"/>
          <w:szCs w:val="36"/>
          <w:lang w:eastAsia="zh-CN"/>
          <w14:textFill>
            <w14:solidFill>
              <w14:schemeClr w14:val="tx1"/>
            </w14:solidFill>
          </w14:textFill>
        </w:rPr>
        <w:t>（</w:t>
      </w:r>
      <w:r>
        <w:rPr>
          <w:rFonts w:hint="eastAsia" w:ascii="楷体" w:hAnsi="楷体" w:eastAsia="楷体" w:cs="楷体"/>
          <w:b/>
          <w:bCs/>
          <w:color w:val="000000" w:themeColor="text1"/>
          <w:sz w:val="36"/>
          <w:szCs w:val="36"/>
          <w:lang w:val="en-US" w:eastAsia="zh-CN"/>
          <w14:textFill>
            <w14:solidFill>
              <w14:schemeClr w14:val="tx1"/>
            </w14:solidFill>
          </w14:textFill>
        </w:rPr>
        <w:t>2023第二版</w:t>
      </w:r>
      <w:r>
        <w:rPr>
          <w:rFonts w:hint="eastAsia" w:ascii="楷体" w:hAnsi="楷体" w:eastAsia="楷体" w:cs="楷体"/>
          <w:b/>
          <w:bCs/>
          <w:color w:val="000000" w:themeColor="text1"/>
          <w:sz w:val="36"/>
          <w:szCs w:val="36"/>
          <w:lang w:eastAsia="zh-CN"/>
          <w14:textFill>
            <w14:solidFill>
              <w14:schemeClr w14:val="tx1"/>
            </w14:solidFill>
          </w14:textFill>
        </w:rPr>
        <w:t>）</w:t>
      </w:r>
    </w:p>
    <w:p>
      <w:pPr>
        <w:ind w:firstLine="880"/>
        <w:jc w:val="left"/>
        <w:rPr>
          <w:rFonts w:hint="eastAsia" w:ascii="楷体" w:hAnsi="楷体" w:eastAsia="楷体" w:cs="楷体"/>
          <w:color w:val="000000" w:themeColor="text1"/>
          <w:sz w:val="28"/>
          <w:szCs w:val="28"/>
          <w14:textFill>
            <w14:solidFill>
              <w14:schemeClr w14:val="tx1"/>
            </w14:solidFill>
          </w14:textFill>
        </w:rPr>
      </w:pPr>
    </w:p>
    <w:p>
      <w:pPr>
        <w:ind w:firstLine="880"/>
        <w:jc w:val="left"/>
        <w:rPr>
          <w:rFonts w:hint="eastAsia" w:ascii="楷体" w:hAnsi="楷体" w:eastAsia="楷体" w:cs="楷体"/>
          <w:color w:val="000000" w:themeColor="text1"/>
          <w:sz w:val="28"/>
          <w:szCs w:val="28"/>
          <w14:textFill>
            <w14:solidFill>
              <w14:schemeClr w14:val="tx1"/>
            </w14:solidFill>
          </w14:textFill>
        </w:rPr>
      </w:pPr>
    </w:p>
    <w:p>
      <w:pPr>
        <w:ind w:left="0" w:leftChars="0" w:firstLine="0" w:firstLineChars="0"/>
        <w:rPr>
          <w:rFonts w:hint="eastAsia" w:ascii="楷体" w:hAnsi="楷体" w:eastAsia="楷体" w:cs="楷体"/>
          <w:color w:val="000000" w:themeColor="text1"/>
          <w:sz w:val="28"/>
          <w:szCs w:val="28"/>
          <w14:textFill>
            <w14:solidFill>
              <w14:schemeClr w14:val="tx1"/>
            </w14:solidFill>
          </w14:textFill>
        </w:rPr>
      </w:pPr>
    </w:p>
    <w:p>
      <w:pPr>
        <w:pStyle w:val="3"/>
        <w:rPr>
          <w:rFonts w:hint="eastAsia" w:ascii="楷体" w:hAnsi="楷体" w:eastAsia="楷体" w:cs="楷体"/>
          <w:color w:val="000000" w:themeColor="text1"/>
          <w:sz w:val="28"/>
          <w:szCs w:val="28"/>
          <w14:textFill>
            <w14:solidFill>
              <w14:schemeClr w14:val="tx1"/>
            </w14:solidFill>
          </w14:textFill>
        </w:rPr>
      </w:pPr>
    </w:p>
    <w:p>
      <w:pPr>
        <w:pStyle w:val="3"/>
        <w:rPr>
          <w:rFonts w:hint="eastAsia" w:ascii="楷体" w:hAnsi="楷体" w:eastAsia="楷体" w:cs="楷体"/>
          <w:color w:val="000000" w:themeColor="text1"/>
          <w:sz w:val="28"/>
          <w:szCs w:val="28"/>
          <w14:textFill>
            <w14:solidFill>
              <w14:schemeClr w14:val="tx1"/>
            </w14:solidFill>
          </w14:textFill>
        </w:rPr>
      </w:pPr>
    </w:p>
    <w:p>
      <w:pPr>
        <w:pStyle w:val="3"/>
        <w:rPr>
          <w:rFonts w:hint="eastAsia" w:ascii="楷体" w:hAnsi="楷体" w:eastAsia="楷体" w:cs="楷体"/>
          <w:color w:val="000000" w:themeColor="text1"/>
          <w:sz w:val="28"/>
          <w:szCs w:val="28"/>
          <w14:textFill>
            <w14:solidFill>
              <w14:schemeClr w14:val="tx1"/>
            </w14:solidFill>
          </w14:textFill>
        </w:rPr>
      </w:pPr>
    </w:p>
    <w:p>
      <w:pPr>
        <w:pStyle w:val="3"/>
        <w:rPr>
          <w:rFonts w:hint="eastAsia" w:ascii="楷体" w:hAnsi="楷体" w:eastAsia="楷体" w:cs="楷体"/>
          <w:color w:val="000000" w:themeColor="text1"/>
          <w:sz w:val="28"/>
          <w:szCs w:val="28"/>
          <w14:textFill>
            <w14:solidFill>
              <w14:schemeClr w14:val="tx1"/>
            </w14:solidFill>
          </w14:textFill>
        </w:rPr>
      </w:pPr>
    </w:p>
    <w:p>
      <w:pPr>
        <w:pStyle w:val="3"/>
        <w:rPr>
          <w:rFonts w:hint="eastAsia" w:ascii="楷体" w:hAnsi="楷体" w:eastAsia="楷体" w:cs="楷体"/>
          <w:color w:val="000000" w:themeColor="text1"/>
          <w:sz w:val="28"/>
          <w:szCs w:val="28"/>
          <w14:textFill>
            <w14:solidFill>
              <w14:schemeClr w14:val="tx1"/>
            </w14:solidFill>
          </w14:textFill>
        </w:rPr>
      </w:pPr>
    </w:p>
    <w:tbl>
      <w:tblPr>
        <w:tblStyle w:val="31"/>
        <w:tblW w:w="9952" w:type="dxa"/>
        <w:jc w:val="center"/>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668"/>
        <w:gridCol w:w="6725"/>
        <w:gridCol w:w="1559"/>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668" w:type="dxa"/>
            <w:noWrap w:val="0"/>
            <w:vAlign w:val="center"/>
          </w:tcPr>
          <w:p>
            <w:pPr>
              <w:ind w:firstLine="0" w:firstLineChars="0"/>
              <w:rPr>
                <w:rFonts w:hint="eastAsia" w:ascii="楷体" w:hAnsi="楷体" w:eastAsia="楷体" w:cs="楷体"/>
                <w:b/>
                <w:color w:val="000000" w:themeColor="text1"/>
                <w:sz w:val="28"/>
                <w:szCs w:val="28"/>
                <w14:textFill>
                  <w14:solidFill>
                    <w14:schemeClr w14:val="tx1"/>
                  </w14:solidFill>
                </w14:textFill>
              </w:rPr>
            </w:pPr>
            <w:r>
              <w:rPr>
                <w:rFonts w:hint="eastAsia" w:ascii="楷体" w:hAnsi="楷体" w:eastAsia="楷体" w:cs="楷体"/>
                <w:b/>
                <w:color w:val="000000" w:themeColor="text1"/>
                <w:sz w:val="28"/>
                <w:szCs w:val="28"/>
                <w14:textFill>
                  <w14:solidFill>
                    <w14:schemeClr w14:val="tx1"/>
                  </w14:solidFill>
                </w14:textFill>
              </w:rPr>
              <w:t>编制单位：</w:t>
            </w:r>
          </w:p>
        </w:tc>
        <w:tc>
          <w:tcPr>
            <w:tcW w:w="6725" w:type="dxa"/>
            <w:noWrap w:val="0"/>
            <w:vAlign w:val="center"/>
          </w:tcPr>
          <w:p>
            <w:pPr>
              <w:pStyle w:val="3"/>
              <w:jc w:val="center"/>
              <w:rPr>
                <w:rFonts w:hint="default"/>
                <w:color w:val="000000" w:themeColor="text1"/>
                <w:lang w:val="en-US"/>
                <w14:textFill>
                  <w14:solidFill>
                    <w14:schemeClr w14:val="tx1"/>
                  </w14:solidFill>
                </w14:textFill>
              </w:rPr>
            </w:pPr>
            <w:r>
              <w:rPr>
                <w:rFonts w:hint="eastAsia" w:ascii="楷体" w:hAnsi="楷体" w:eastAsia="楷体" w:cs="楷体"/>
                <w:b/>
                <w:color w:val="000000" w:themeColor="text1"/>
                <w:sz w:val="28"/>
                <w:szCs w:val="28"/>
                <w:lang w:val="en-US" w:eastAsia="zh-CN"/>
                <w14:textFill>
                  <w14:solidFill>
                    <w14:schemeClr w14:val="tx1"/>
                  </w14:solidFill>
                </w14:textFill>
              </w:rPr>
              <w:t>云南安宁泰源工贸集团有限公司景洪分公司</w:t>
            </w:r>
          </w:p>
        </w:tc>
        <w:tc>
          <w:tcPr>
            <w:tcW w:w="1559" w:type="dxa"/>
            <w:vMerge w:val="restart"/>
            <w:noWrap w:val="0"/>
            <w:vAlign w:val="center"/>
          </w:tcPr>
          <w:p>
            <w:pPr>
              <w:ind w:firstLine="0" w:firstLineChars="0"/>
              <w:rPr>
                <w:rFonts w:hint="eastAsia" w:ascii="楷体" w:hAnsi="楷体" w:eastAsia="楷体" w:cs="楷体"/>
                <w:b/>
                <w:color w:val="000000" w:themeColor="text1"/>
                <w:sz w:val="28"/>
                <w:szCs w:val="28"/>
                <w14:textFill>
                  <w14:solidFill>
                    <w14:schemeClr w14:val="tx1"/>
                  </w14:solidFill>
                </w14:textFill>
              </w:rPr>
            </w:pPr>
            <w:r>
              <w:rPr>
                <w:rFonts w:hint="eastAsia" w:ascii="楷体" w:hAnsi="楷体" w:eastAsia="楷体" w:cs="楷体"/>
                <w:b/>
                <w:color w:val="000000" w:themeColor="text1"/>
                <w:sz w:val="28"/>
                <w:szCs w:val="28"/>
                <w14:textFill>
                  <w14:solidFill>
                    <w14:schemeClr w14:val="tx1"/>
                  </w14:solidFill>
                </w14:textFill>
              </w:rPr>
              <w:t>编制</w:t>
            </w:r>
          </w:p>
          <w:p>
            <w:pPr>
              <w:ind w:firstLine="0" w:firstLineChars="0"/>
              <w:rPr>
                <w:rFonts w:hint="eastAsia" w:ascii="楷体" w:hAnsi="楷体" w:eastAsia="楷体" w:cs="楷体"/>
                <w:b/>
                <w:color w:val="000000" w:themeColor="text1"/>
                <w:sz w:val="28"/>
                <w:szCs w:val="28"/>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668" w:type="dxa"/>
            <w:noWrap w:val="0"/>
            <w:vAlign w:val="center"/>
          </w:tcPr>
          <w:p>
            <w:pPr>
              <w:ind w:firstLine="0" w:firstLineChars="0"/>
              <w:rPr>
                <w:rFonts w:hint="eastAsia" w:ascii="楷体" w:hAnsi="楷体" w:eastAsia="楷体" w:cs="楷体"/>
                <w:b/>
                <w:color w:val="000000" w:themeColor="text1"/>
                <w:sz w:val="28"/>
                <w:szCs w:val="28"/>
                <w14:textFill>
                  <w14:solidFill>
                    <w14:schemeClr w14:val="tx1"/>
                  </w14:solidFill>
                </w14:textFill>
              </w:rPr>
            </w:pPr>
            <w:r>
              <w:rPr>
                <w:rFonts w:hint="eastAsia" w:ascii="楷体" w:hAnsi="楷体" w:eastAsia="楷体" w:cs="楷体"/>
                <w:b/>
                <w:color w:val="000000" w:themeColor="text1"/>
                <w:sz w:val="28"/>
                <w:szCs w:val="28"/>
                <w14:textFill>
                  <w14:solidFill>
                    <w14:schemeClr w14:val="tx1"/>
                  </w14:solidFill>
                </w14:textFill>
              </w:rPr>
              <w:t>编制</w:t>
            </w:r>
            <w:r>
              <w:rPr>
                <w:rFonts w:hint="eastAsia" w:ascii="楷体" w:hAnsi="楷体" w:eastAsia="楷体" w:cs="楷体"/>
                <w:b/>
                <w:color w:val="000000" w:themeColor="text1"/>
                <w:sz w:val="28"/>
                <w:szCs w:val="28"/>
                <w:lang w:val="en-US" w:eastAsia="zh-CN"/>
                <w14:textFill>
                  <w14:solidFill>
                    <w14:schemeClr w14:val="tx1"/>
                  </w14:solidFill>
                </w14:textFill>
              </w:rPr>
              <w:t>人员</w:t>
            </w:r>
            <w:r>
              <w:rPr>
                <w:rFonts w:hint="eastAsia" w:ascii="楷体" w:hAnsi="楷体" w:eastAsia="楷体" w:cs="楷体"/>
                <w:b/>
                <w:color w:val="000000" w:themeColor="text1"/>
                <w:sz w:val="28"/>
                <w:szCs w:val="28"/>
                <w14:textFill>
                  <w14:solidFill>
                    <w14:schemeClr w14:val="tx1"/>
                  </w14:solidFill>
                </w14:textFill>
              </w:rPr>
              <w:t>：</w:t>
            </w:r>
          </w:p>
        </w:tc>
        <w:tc>
          <w:tcPr>
            <w:tcW w:w="6725" w:type="dxa"/>
            <w:noWrap w:val="0"/>
            <w:vAlign w:val="center"/>
          </w:tcPr>
          <w:p>
            <w:pPr>
              <w:spacing w:line="300" w:lineRule="auto"/>
              <w:ind w:firstLine="0" w:firstLineChars="0"/>
              <w:jc w:val="center"/>
              <w:rPr>
                <w:rFonts w:hint="default" w:ascii="楷体" w:hAnsi="楷体" w:eastAsia="楷体" w:cs="楷体"/>
                <w:b/>
                <w:color w:val="000000" w:themeColor="text1"/>
                <w:sz w:val="28"/>
                <w:szCs w:val="28"/>
                <w:lang w:val="en-US"/>
                <w14:textFill>
                  <w14:solidFill>
                    <w14:schemeClr w14:val="tx1"/>
                  </w14:solidFill>
                </w14:textFill>
              </w:rPr>
            </w:pPr>
            <w:r>
              <w:rPr>
                <w:rFonts w:hint="eastAsia" w:ascii="楷体" w:hAnsi="楷体" w:eastAsia="楷体" w:cs="楷体"/>
                <w:b/>
                <w:color w:val="000000" w:themeColor="text1"/>
                <w:sz w:val="28"/>
                <w:szCs w:val="28"/>
                <w:lang w:val="en-US" w:eastAsia="zh-CN"/>
                <w14:textFill>
                  <w14:solidFill>
                    <w14:schemeClr w14:val="tx1"/>
                  </w14:solidFill>
                </w14:textFill>
              </w:rPr>
              <w:t>孙启远  18364211667</w:t>
            </w:r>
          </w:p>
        </w:tc>
        <w:tc>
          <w:tcPr>
            <w:tcW w:w="1559" w:type="dxa"/>
            <w:vMerge w:val="continue"/>
            <w:noWrap w:val="0"/>
            <w:vAlign w:val="center"/>
          </w:tcPr>
          <w:p>
            <w:pPr>
              <w:ind w:firstLine="0" w:firstLineChars="0"/>
              <w:rPr>
                <w:rFonts w:hint="eastAsia" w:ascii="楷体" w:hAnsi="楷体" w:eastAsia="楷体" w:cs="楷体"/>
                <w:b/>
                <w:color w:val="000000" w:themeColor="text1"/>
                <w:sz w:val="28"/>
                <w:szCs w:val="28"/>
                <w14:textFill>
                  <w14:solidFill>
                    <w14:schemeClr w14:val="tx1"/>
                  </w14:solidFill>
                </w14:textFill>
              </w:rPr>
            </w:pPr>
          </w:p>
        </w:tc>
      </w:tr>
    </w:tbl>
    <w:p>
      <w:pPr>
        <w:spacing w:before="190" w:beforeLines="50" w:line="540" w:lineRule="exact"/>
        <w:ind w:firstLine="643"/>
        <w:jc w:val="center"/>
        <w:rPr>
          <w:rFonts w:hint="eastAsia" w:ascii="楷体" w:hAnsi="楷体" w:eastAsia="楷体" w:cs="楷体"/>
          <w:b/>
          <w:color w:val="000000" w:themeColor="text1"/>
          <w:sz w:val="28"/>
          <w:szCs w:val="28"/>
          <w14:textFill>
            <w14:solidFill>
              <w14:schemeClr w14:val="tx1"/>
            </w14:solidFill>
          </w14:textFill>
        </w:rPr>
      </w:pPr>
      <w:r>
        <w:rPr>
          <w:rFonts w:hint="eastAsia" w:ascii="楷体" w:hAnsi="楷体" w:eastAsia="楷体" w:cs="楷体"/>
          <w:b/>
          <w:color w:val="000000" w:themeColor="text1"/>
          <w:sz w:val="28"/>
          <w:szCs w:val="28"/>
          <w14:textFill>
            <w14:solidFill>
              <w14:schemeClr w14:val="tx1"/>
            </w14:solidFill>
          </w14:textFill>
        </w:rPr>
        <w:t>二零二</w:t>
      </w:r>
      <w:r>
        <w:rPr>
          <w:rFonts w:hint="eastAsia" w:ascii="楷体" w:hAnsi="楷体" w:eastAsia="楷体" w:cs="楷体"/>
          <w:b/>
          <w:color w:val="000000" w:themeColor="text1"/>
          <w:sz w:val="28"/>
          <w:szCs w:val="28"/>
          <w:lang w:val="en-US" w:eastAsia="zh-CN"/>
          <w14:textFill>
            <w14:solidFill>
              <w14:schemeClr w14:val="tx1"/>
            </w14:solidFill>
          </w14:textFill>
        </w:rPr>
        <w:t>三</w:t>
      </w:r>
      <w:r>
        <w:rPr>
          <w:rFonts w:hint="eastAsia" w:ascii="楷体" w:hAnsi="楷体" w:eastAsia="楷体" w:cs="楷体"/>
          <w:b/>
          <w:color w:val="000000" w:themeColor="text1"/>
          <w:sz w:val="28"/>
          <w:szCs w:val="28"/>
          <w14:textFill>
            <w14:solidFill>
              <w14:schemeClr w14:val="tx1"/>
            </w14:solidFill>
          </w14:textFill>
        </w:rPr>
        <w:t>年</w:t>
      </w:r>
      <w:r>
        <w:rPr>
          <w:rFonts w:hint="eastAsia" w:ascii="楷体" w:hAnsi="楷体" w:eastAsia="楷体" w:cs="楷体"/>
          <w:b/>
          <w:color w:val="000000" w:themeColor="text1"/>
          <w:sz w:val="28"/>
          <w:szCs w:val="28"/>
          <w:lang w:val="en-US" w:eastAsia="zh-CN"/>
          <w14:textFill>
            <w14:solidFill>
              <w14:schemeClr w14:val="tx1"/>
            </w14:solidFill>
          </w14:textFill>
        </w:rPr>
        <w:t>六</w:t>
      </w:r>
      <w:r>
        <w:rPr>
          <w:rFonts w:hint="eastAsia" w:ascii="楷体" w:hAnsi="楷体" w:eastAsia="楷体" w:cs="楷体"/>
          <w:b/>
          <w:color w:val="000000" w:themeColor="text1"/>
          <w:sz w:val="28"/>
          <w:szCs w:val="28"/>
          <w14:textFill>
            <w14:solidFill>
              <w14:schemeClr w14:val="tx1"/>
            </w14:solidFill>
          </w14:textFill>
        </w:rPr>
        <w:t>月</w:t>
      </w:r>
    </w:p>
    <w:tbl>
      <w:tblPr>
        <w:tblStyle w:val="31"/>
        <w:tblW w:w="9780" w:type="dxa"/>
        <w:jc w:val="center"/>
        <w:tblBorders>
          <w:top w:val="none" w:color="auto" w:sz="0" w:space="0"/>
          <w:left w:val="none" w:color="auto" w:sz="0" w:space="0"/>
          <w:bottom w:val="single" w:color="auto" w:sz="18" w:space="0"/>
          <w:right w:val="none" w:color="auto" w:sz="0" w:space="0"/>
          <w:insideH w:val="single" w:color="auto" w:sz="18" w:space="0"/>
          <w:insideV w:val="none" w:color="auto" w:sz="0" w:space="0"/>
        </w:tblBorders>
        <w:tblLayout w:type="fixed"/>
        <w:tblCellMar>
          <w:top w:w="0" w:type="dxa"/>
          <w:left w:w="108" w:type="dxa"/>
          <w:bottom w:w="0" w:type="dxa"/>
          <w:right w:w="108" w:type="dxa"/>
        </w:tblCellMar>
      </w:tblPr>
      <w:tblGrid>
        <w:gridCol w:w="9780"/>
      </w:tblGrid>
      <w:tr>
        <w:tblPrEx>
          <w:tblBorders>
            <w:top w:val="none" w:color="auto" w:sz="0" w:space="0"/>
            <w:left w:val="none" w:color="auto" w:sz="0" w:space="0"/>
            <w:bottom w:val="single" w:color="auto" w:sz="18" w:space="0"/>
            <w:right w:val="none" w:color="auto" w:sz="0" w:space="0"/>
            <w:insideH w:val="single" w:color="auto" w:sz="18" w:space="0"/>
            <w:insideV w:val="none" w:color="auto" w:sz="0" w:space="0"/>
          </w:tblBorders>
          <w:tblCellMar>
            <w:top w:w="0" w:type="dxa"/>
            <w:left w:w="108" w:type="dxa"/>
            <w:bottom w:w="0" w:type="dxa"/>
            <w:right w:w="108" w:type="dxa"/>
          </w:tblCellMar>
        </w:tblPrEx>
        <w:trPr>
          <w:trHeight w:val="683" w:hRule="atLeast"/>
          <w:jc w:val="center"/>
        </w:trPr>
        <w:tc>
          <w:tcPr>
            <w:tcW w:w="9780" w:type="dxa"/>
            <w:tcBorders>
              <w:tl2br w:val="nil"/>
              <w:tr2bl w:val="nil"/>
            </w:tcBorders>
            <w:noWrap w:val="0"/>
            <w:vAlign w:val="center"/>
          </w:tcPr>
          <w:p>
            <w:pPr>
              <w:snapToGrid w:val="0"/>
              <w:spacing w:before="381" w:beforeLines="100"/>
              <w:ind w:firstLine="0" w:firstLineChars="0"/>
              <w:jc w:val="left"/>
              <w:rPr>
                <w:rFonts w:hint="eastAsia" w:ascii="楷体" w:hAnsi="楷体" w:eastAsia="楷体" w:cs="楷体"/>
                <w:b/>
                <w:color w:val="000000" w:themeColor="text1"/>
                <w:sz w:val="28"/>
                <w:szCs w:val="28"/>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 xml:space="preserve">备案号：                     备案时间：           </w:t>
            </w:r>
          </w:p>
        </w:tc>
      </w:tr>
      <w:tr>
        <w:tblPrEx>
          <w:tblBorders>
            <w:top w:val="none" w:color="auto" w:sz="0" w:space="0"/>
            <w:left w:val="none" w:color="auto" w:sz="0" w:space="0"/>
            <w:bottom w:val="single" w:color="auto" w:sz="18" w:space="0"/>
            <w:right w:val="none" w:color="auto" w:sz="0" w:space="0"/>
            <w:insideH w:val="single" w:color="auto" w:sz="18" w:space="0"/>
            <w:insideV w:val="none" w:color="auto" w:sz="0" w:space="0"/>
          </w:tblBorders>
          <w:tblCellMar>
            <w:top w:w="0" w:type="dxa"/>
            <w:left w:w="108" w:type="dxa"/>
            <w:bottom w:w="0" w:type="dxa"/>
            <w:right w:w="108" w:type="dxa"/>
          </w:tblCellMar>
        </w:tblPrEx>
        <w:trPr>
          <w:trHeight w:val="775" w:hRule="atLeast"/>
          <w:jc w:val="center"/>
        </w:trPr>
        <w:tc>
          <w:tcPr>
            <w:tcW w:w="9780" w:type="dxa"/>
            <w:tcBorders>
              <w:tl2br w:val="nil"/>
              <w:tr2bl w:val="nil"/>
            </w:tcBorders>
            <w:noWrap w:val="0"/>
            <w:vAlign w:val="center"/>
          </w:tcPr>
          <w:p>
            <w:pPr>
              <w:snapToGrid w:val="0"/>
              <w:spacing w:before="381" w:beforeLines="100"/>
              <w:ind w:firstLine="0" w:firstLineChars="0"/>
              <w:rPr>
                <w:rFonts w:hint="eastAsia" w:ascii="楷体" w:hAnsi="楷体" w:eastAsia="楷体" w:cs="楷体"/>
                <w:b/>
                <w:bCs/>
                <w:color w:val="000000" w:themeColor="text1"/>
                <w:sz w:val="28"/>
                <w:szCs w:val="28"/>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 xml:space="preserve">      年   月   日发布               年   月   日实施</w:t>
            </w:r>
          </w:p>
        </w:tc>
      </w:tr>
    </w:tbl>
    <w:p>
      <w:pPr>
        <w:pStyle w:val="30"/>
        <w:ind w:left="560" w:firstLine="560"/>
        <w:rPr>
          <w:color w:val="000000" w:themeColor="text1"/>
          <w14:textFill>
            <w14:solidFill>
              <w14:schemeClr w14:val="tx1"/>
            </w14:solidFill>
          </w14:textFill>
        </w:rPr>
      </w:pPr>
    </w:p>
    <w:p>
      <w:pPr>
        <w:ind w:firstLine="600"/>
        <w:rPr>
          <w:rFonts w:cs="Times New Roman"/>
          <w:color w:val="000000" w:themeColor="text1"/>
          <w:sz w:val="30"/>
          <w:szCs w:val="30"/>
          <w14:textFill>
            <w14:solidFill>
              <w14:schemeClr w14:val="tx1"/>
            </w14:solidFill>
          </w14:textFill>
        </w:rPr>
        <w:sectPr>
          <w:headerReference r:id="rId5" w:type="default"/>
          <w:footerReference r:id="rId7" w:type="default"/>
          <w:headerReference r:id="rId6" w:type="even"/>
          <w:footerReference r:id="rId8" w:type="even"/>
          <w:type w:val="continuous"/>
          <w:pgSz w:w="11906" w:h="16838"/>
          <w:pgMar w:top="1417" w:right="1417" w:bottom="1440" w:left="1800" w:header="851" w:footer="992" w:gutter="0"/>
          <w:pgNumType w:fmt="upperRoman" w:start="1"/>
          <w:cols w:space="720" w:num="1"/>
          <w:docGrid w:type="lines" w:linePitch="312" w:charSpace="0"/>
        </w:sectPr>
      </w:pPr>
    </w:p>
    <w:p>
      <w:pPr>
        <w:snapToGrid w:val="0"/>
        <w:ind w:firstLine="0" w:firstLineChars="0"/>
        <w:jc w:val="center"/>
        <w:textAlignment w:val="auto"/>
        <w:rPr>
          <w:rFonts w:cs="Times New Roman"/>
          <w:b/>
          <w:bCs/>
          <w:color w:val="000000" w:themeColor="text1"/>
          <w:kern w:val="2"/>
          <w:szCs w:val="30"/>
          <w14:textFill>
            <w14:solidFill>
              <w14:schemeClr w14:val="tx1"/>
            </w14:solidFill>
          </w14:textFill>
        </w:rPr>
        <w:sectPr>
          <w:headerReference r:id="rId9" w:type="default"/>
          <w:footerReference r:id="rId10" w:type="default"/>
          <w:footerReference r:id="rId11" w:type="even"/>
          <w:type w:val="continuous"/>
          <w:pgSz w:w="11906" w:h="16838"/>
          <w:pgMar w:top="1440" w:right="1800" w:bottom="1440" w:left="1800" w:header="851" w:footer="992" w:gutter="0"/>
          <w:pgNumType w:fmt="upperRoman" w:start="1"/>
          <w:cols w:space="720" w:num="1"/>
          <w:docGrid w:type="lines" w:linePitch="312" w:charSpace="0"/>
        </w:sectPr>
      </w:pPr>
    </w:p>
    <w:p>
      <w:pPr>
        <w:adjustRightInd/>
        <w:spacing w:line="520" w:lineRule="exact"/>
        <w:ind w:firstLine="0" w:firstLineChars="0"/>
        <w:jc w:val="center"/>
        <w:textAlignment w:val="auto"/>
        <w:rPr>
          <w:rFonts w:cs="Times New Roman"/>
          <w:b/>
          <w:bCs/>
          <w:color w:val="000000" w:themeColor="text1"/>
          <w:kern w:val="2"/>
          <w:sz w:val="36"/>
          <w:szCs w:val="36"/>
          <w14:textFill>
            <w14:solidFill>
              <w14:schemeClr w14:val="tx1"/>
            </w14:solidFill>
          </w14:textFill>
        </w:rPr>
      </w:pPr>
      <w:r>
        <w:rPr>
          <w:rFonts w:hint="eastAsia" w:cs="Times New Roman"/>
          <w:b/>
          <w:bCs/>
          <w:color w:val="000000" w:themeColor="text1"/>
          <w:kern w:val="2"/>
          <w:sz w:val="36"/>
          <w:szCs w:val="36"/>
          <w14:textFill>
            <w14:solidFill>
              <w14:schemeClr w14:val="tx1"/>
            </w14:solidFill>
          </w14:textFill>
        </w:rPr>
        <w:t>企业事业单位突发环境事件应急预案备案表</w:t>
      </w:r>
    </w:p>
    <w:tbl>
      <w:tblPr>
        <w:tblStyle w:val="31"/>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2550"/>
        <w:gridCol w:w="113"/>
        <w:gridCol w:w="1337"/>
        <w:gridCol w:w="685"/>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20" w:type="dxa"/>
            <w:tcBorders>
              <w:top w:val="single" w:color="auto" w:sz="12"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单位名称</w:t>
            </w:r>
          </w:p>
        </w:tc>
        <w:tc>
          <w:tcPr>
            <w:tcW w:w="2663" w:type="dxa"/>
            <w:gridSpan w:val="2"/>
            <w:tcBorders>
              <w:top w:val="single" w:color="auto" w:sz="12"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云南安宁泰源工贸集团有限公司景洪分公司</w:t>
            </w:r>
          </w:p>
        </w:tc>
        <w:tc>
          <w:tcPr>
            <w:tcW w:w="1337" w:type="dxa"/>
            <w:tcBorders>
              <w:top w:val="single" w:color="auto" w:sz="12"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机构代码</w:t>
            </w:r>
          </w:p>
        </w:tc>
        <w:tc>
          <w:tcPr>
            <w:tcW w:w="2820" w:type="dxa"/>
            <w:gridSpan w:val="2"/>
            <w:tcBorders>
              <w:top w:val="single" w:color="auto" w:sz="12"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91532801748293261G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法定代表人</w:t>
            </w:r>
          </w:p>
        </w:tc>
        <w:tc>
          <w:tcPr>
            <w:tcW w:w="2663" w:type="dxa"/>
            <w:gridSpan w:val="2"/>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张剑锋</w:t>
            </w:r>
          </w:p>
        </w:tc>
        <w:tc>
          <w:tcPr>
            <w:tcW w:w="1337" w:type="dxa"/>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联系电话</w:t>
            </w:r>
          </w:p>
        </w:tc>
        <w:tc>
          <w:tcPr>
            <w:tcW w:w="2820" w:type="dxa"/>
            <w:gridSpan w:val="2"/>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13988112112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联系人</w:t>
            </w:r>
          </w:p>
        </w:tc>
        <w:tc>
          <w:tcPr>
            <w:tcW w:w="2663" w:type="dxa"/>
            <w:gridSpan w:val="2"/>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张剑锋</w:t>
            </w:r>
          </w:p>
        </w:tc>
        <w:tc>
          <w:tcPr>
            <w:tcW w:w="1337" w:type="dxa"/>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联系电话</w:t>
            </w:r>
          </w:p>
        </w:tc>
        <w:tc>
          <w:tcPr>
            <w:tcW w:w="2820" w:type="dxa"/>
            <w:gridSpan w:val="2"/>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13988112112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传真</w:t>
            </w:r>
          </w:p>
        </w:tc>
        <w:tc>
          <w:tcPr>
            <w:tcW w:w="2663" w:type="dxa"/>
            <w:gridSpan w:val="2"/>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 xml:space="preserve">/ </w:t>
            </w:r>
          </w:p>
        </w:tc>
        <w:tc>
          <w:tcPr>
            <w:tcW w:w="1337" w:type="dxa"/>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电子邮箱</w:t>
            </w:r>
          </w:p>
        </w:tc>
        <w:tc>
          <w:tcPr>
            <w:tcW w:w="2820" w:type="dxa"/>
            <w:gridSpan w:val="2"/>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地址</w:t>
            </w:r>
          </w:p>
        </w:tc>
        <w:tc>
          <w:tcPr>
            <w:tcW w:w="6820" w:type="dxa"/>
            <w:gridSpan w:val="5"/>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云南省西双版纳傣族自治州景洪市勐龙镇曼南坎村，中心位置</w:t>
            </w:r>
            <w:r>
              <w:rPr>
                <w:rFonts w:cs="Times New Roman"/>
                <w:color w:val="000000" w:themeColor="text1"/>
                <w14:textFill>
                  <w14:solidFill>
                    <w14:schemeClr w14:val="tx1"/>
                  </w14:solidFill>
                </w14:textFill>
              </w:rPr>
              <w:t>地理坐标：东经100°39′10″、北纬21°34′40″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预案名称</w:t>
            </w:r>
          </w:p>
        </w:tc>
        <w:tc>
          <w:tcPr>
            <w:tcW w:w="6820" w:type="dxa"/>
            <w:gridSpan w:val="5"/>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bCs/>
                <w:color w:val="000000" w:themeColor="text1"/>
                <w:kern w:val="2"/>
                <w:szCs w:val="28"/>
                <w14:textFill>
                  <w14:solidFill>
                    <w14:schemeClr w14:val="tx1"/>
                  </w14:solidFill>
                </w14:textFill>
              </w:rPr>
            </w:pPr>
            <w:r>
              <w:rPr>
                <w:rFonts w:hint="eastAsia" w:cs="Times New Roman"/>
                <w:bCs/>
                <w:color w:val="000000" w:themeColor="text1"/>
                <w:kern w:val="2"/>
                <w:szCs w:val="28"/>
                <w14:textFill>
                  <w14:solidFill>
                    <w14:schemeClr w14:val="tx1"/>
                  </w14:solidFill>
                </w14:textFill>
              </w:rPr>
              <w:t>云南安宁泰源工贸集团有限公司景洪分公司曼南坎铁矿尾矿库突发环境事件应急预案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风险级别</w:t>
            </w:r>
          </w:p>
        </w:tc>
        <w:tc>
          <w:tcPr>
            <w:tcW w:w="6820" w:type="dxa"/>
            <w:gridSpan w:val="5"/>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一般（</w:t>
            </w:r>
            <w:r>
              <w:rPr>
                <w:rFonts w:hint="eastAsia" w:cs="Times New Roman"/>
                <w:color w:val="000000" w:themeColor="text1"/>
                <w:kern w:val="2"/>
                <w:szCs w:val="28"/>
                <w14:textFill>
                  <w14:solidFill>
                    <w14:schemeClr w14:val="tx1"/>
                  </w14:solidFill>
                </w14:textFill>
              </w:rPr>
              <w:t>Q</w:t>
            </w:r>
            <w:r>
              <w:rPr>
                <w:rFonts w:hint="eastAsia" w:cs="Times New Roman"/>
                <w:color w:val="000000" w:themeColor="text1"/>
                <w:kern w:val="2"/>
                <w:szCs w:val="28"/>
                <w:vertAlign w:val="subscript"/>
                <w14:textFill>
                  <w14:solidFill>
                    <w14:schemeClr w14:val="tx1"/>
                  </w14:solidFill>
                </w14:textFill>
              </w:rPr>
              <w:t>0</w:t>
            </w:r>
            <w:r>
              <w:rPr>
                <w:rFonts w:cs="Times New Roman"/>
                <w:color w:val="000000" w:themeColor="text1"/>
                <w:kern w:val="2"/>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jc w:val="center"/>
        </w:trPr>
        <w:tc>
          <w:tcPr>
            <w:tcW w:w="8540" w:type="dxa"/>
            <w:gridSpan w:val="6"/>
            <w:tcBorders>
              <w:top w:val="single" w:color="auto" w:sz="4" w:space="0"/>
              <w:left w:val="single" w:color="auto" w:sz="12" w:space="0"/>
              <w:bottom w:val="single" w:color="auto" w:sz="4" w:space="0"/>
              <w:right w:val="single" w:color="auto" w:sz="12" w:space="0"/>
            </w:tcBorders>
            <w:vAlign w:val="center"/>
          </w:tcPr>
          <w:p>
            <w:pPr>
              <w:adjustRightInd/>
              <w:spacing w:line="520" w:lineRule="exact"/>
              <w:ind w:firstLine="560"/>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本单位于   年 月 日签署发布了突发环境事件应急预案，备案条件具备，备案文件齐全，现报送备案。</w:t>
            </w:r>
          </w:p>
          <w:p>
            <w:pPr>
              <w:adjustRightInd/>
              <w:spacing w:line="520" w:lineRule="exact"/>
              <w:ind w:firstLine="560"/>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本单位承诺，本单位在办理备案中所提供的相关文件及其信息均经本单位确认真实，无虚假，且未隐瞒事实。</w:t>
            </w:r>
          </w:p>
          <w:p>
            <w:pPr>
              <w:adjustRightInd/>
              <w:spacing w:line="520" w:lineRule="exact"/>
              <w:ind w:firstLine="560"/>
              <w:textAlignment w:val="auto"/>
              <w:rPr>
                <w:rFonts w:cs="Times New Roman"/>
                <w:color w:val="000000" w:themeColor="text1"/>
                <w:kern w:val="2"/>
                <w:szCs w:val="28"/>
                <w14:textFill>
                  <w14:solidFill>
                    <w14:schemeClr w14:val="tx1"/>
                  </w14:solidFill>
                </w14:textFill>
              </w:rPr>
            </w:pPr>
          </w:p>
          <w:p>
            <w:pPr>
              <w:adjustRightInd/>
              <w:spacing w:line="520" w:lineRule="exact"/>
              <w:ind w:firstLine="0" w:firstLineChars="0"/>
              <w:textAlignment w:val="auto"/>
              <w:rPr>
                <w:rFonts w:cs="Times New Roman"/>
                <w:color w:val="000000" w:themeColor="text1"/>
                <w:kern w:val="2"/>
                <w:szCs w:val="28"/>
                <w14:textFill>
                  <w14:solidFill>
                    <w14:schemeClr w14:val="tx1"/>
                  </w14:solidFill>
                </w14:textFill>
              </w:rPr>
            </w:pPr>
          </w:p>
          <w:p>
            <w:pPr>
              <w:adjustRightInd/>
              <w:spacing w:line="240" w:lineRule="auto"/>
              <w:ind w:firstLine="0" w:firstLineChars="0"/>
              <w:textAlignment w:val="auto"/>
              <w:rPr>
                <w:rFonts w:cs="Times New Roman"/>
                <w:color w:val="000000" w:themeColor="text1"/>
                <w:szCs w:val="28"/>
                <w14:textFill>
                  <w14:solidFill>
                    <w14:schemeClr w14:val="tx1"/>
                  </w14:solidFill>
                </w14:textFill>
              </w:rPr>
            </w:pPr>
          </w:p>
          <w:p>
            <w:pPr>
              <w:adjustRightInd/>
              <w:spacing w:line="240" w:lineRule="auto"/>
              <w:ind w:firstLine="0" w:firstLineChars="0"/>
              <w:textAlignment w:val="auto"/>
              <w:rPr>
                <w:rFonts w:cs="Times New Roman"/>
                <w:color w:val="000000" w:themeColor="text1"/>
                <w:szCs w:val="28"/>
                <w14:textFill>
                  <w14:solidFill>
                    <w14:schemeClr w14:val="tx1"/>
                  </w14:solidFill>
                </w14:textFill>
              </w:rPr>
            </w:pPr>
          </w:p>
          <w:p>
            <w:pPr>
              <w:adjustRightInd/>
              <w:spacing w:line="240" w:lineRule="auto"/>
              <w:ind w:firstLine="0" w:firstLineChars="0"/>
              <w:textAlignment w:val="auto"/>
              <w:rPr>
                <w:rFonts w:cs="Times New Roman"/>
                <w:color w:val="000000" w:themeColor="text1"/>
                <w:szCs w:val="28"/>
                <w14:textFill>
                  <w14:solidFill>
                    <w14:schemeClr w14:val="tx1"/>
                  </w14:solidFill>
                </w14:textFill>
              </w:rPr>
            </w:pPr>
          </w:p>
          <w:p>
            <w:pPr>
              <w:adjustRightInd/>
              <w:spacing w:line="520" w:lineRule="exact"/>
              <w:ind w:firstLine="0" w:firstLineChars="0"/>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 xml:space="preserve">                                                                                                                                              </w:t>
            </w:r>
          </w:p>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 xml:space="preserve">                              预案制定单位（公章）</w:t>
            </w:r>
          </w:p>
          <w:p>
            <w:pPr>
              <w:adjustRightInd/>
              <w:spacing w:line="520" w:lineRule="exact"/>
              <w:ind w:firstLine="0" w:firstLineChars="0"/>
              <w:textAlignment w:val="auto"/>
              <w:rPr>
                <w:rFonts w:cs="Times New Roman"/>
                <w:color w:val="000000" w:themeColor="text1"/>
                <w:kern w:val="2"/>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720"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预案签署人</w:t>
            </w:r>
          </w:p>
        </w:tc>
        <w:tc>
          <w:tcPr>
            <w:tcW w:w="2550" w:type="dxa"/>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tc>
        <w:tc>
          <w:tcPr>
            <w:tcW w:w="2135" w:type="dxa"/>
            <w:gridSpan w:val="3"/>
            <w:tcBorders>
              <w:top w:val="single" w:color="auto" w:sz="4" w:space="0"/>
              <w:left w:val="single" w:color="auto" w:sz="4"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报送时间</w:t>
            </w:r>
          </w:p>
        </w:tc>
        <w:tc>
          <w:tcPr>
            <w:tcW w:w="2135" w:type="dxa"/>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tc>
      </w:tr>
    </w:tbl>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sectPr>
          <w:headerReference r:id="rId12" w:type="default"/>
          <w:footerReference r:id="rId13" w:type="default"/>
          <w:footerReference r:id="rId14" w:type="even"/>
          <w:pgSz w:w="11906" w:h="16838"/>
          <w:pgMar w:top="1440" w:right="1797" w:bottom="1440" w:left="1797" w:header="851" w:footer="992" w:gutter="0"/>
          <w:pgNumType w:fmt="upperRoman" w:start="1"/>
          <w:cols w:space="720" w:num="1"/>
          <w:docGrid w:type="linesAndChars" w:linePitch="312" w:charSpace="0"/>
        </w:sectPr>
      </w:pP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3404"/>
        <w:gridCol w:w="1419"/>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7" w:hRule="atLeast"/>
          <w:jc w:val="center"/>
        </w:trPr>
        <w:tc>
          <w:tcPr>
            <w:tcW w:w="1808" w:type="dxa"/>
            <w:tcBorders>
              <w:top w:val="single" w:color="auto" w:sz="12"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突发环境事件应急预案备案文件目录</w:t>
            </w:r>
          </w:p>
        </w:tc>
        <w:tc>
          <w:tcPr>
            <w:tcW w:w="6720" w:type="dxa"/>
            <w:gridSpan w:val="3"/>
            <w:tcBorders>
              <w:top w:val="single" w:color="auto" w:sz="12" w:space="0"/>
              <w:left w:val="single" w:color="auto" w:sz="4" w:space="0"/>
              <w:bottom w:val="single" w:color="auto" w:sz="4" w:space="0"/>
              <w:right w:val="single" w:color="auto" w:sz="12" w:space="0"/>
            </w:tcBorders>
            <w:vAlign w:val="center"/>
          </w:tcPr>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1.企业事业单位突发环境事件应急预案备案表；</w:t>
            </w:r>
          </w:p>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2.环境应急预案及编制说明：</w:t>
            </w:r>
          </w:p>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环境应急预案（签署发布文件、环境应急预案文本）；</w:t>
            </w:r>
          </w:p>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编制说明（编制过程概述、重点内容说明、征求意见及采纳情况说明、评审情况说明）；</w:t>
            </w:r>
          </w:p>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3.环境风险评估报告；</w:t>
            </w:r>
          </w:p>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cs="Times New Roman"/>
                <w:color w:val="000000" w:themeColor="text1"/>
                <w:kern w:val="2"/>
                <w:szCs w:val="28"/>
                <w14:textFill>
                  <w14:solidFill>
                    <w14:schemeClr w14:val="tx1"/>
                  </w14:solidFill>
                </w14:textFill>
              </w:rPr>
              <w:t>4.环境应急资源调查报告；</w:t>
            </w:r>
          </w:p>
          <w:p>
            <w:pPr>
              <w:adjustRightInd/>
              <w:spacing w:line="520" w:lineRule="exact"/>
              <w:ind w:firstLine="0" w:firstLineChars="0"/>
              <w:jc w:val="left"/>
              <w:textAlignment w:val="auto"/>
              <w:rPr>
                <w:rFonts w:hint="default" w:eastAsia="仿宋" w:cs="Times New Roman"/>
                <w:color w:val="000000" w:themeColor="text1"/>
                <w:kern w:val="2"/>
                <w:szCs w:val="28"/>
                <w:lang w:val="en-US" w:eastAsia="zh-CN"/>
                <w14:textFill>
                  <w14:solidFill>
                    <w14:schemeClr w14:val="tx1"/>
                  </w14:solidFill>
                </w14:textFill>
              </w:rPr>
            </w:pPr>
            <w:r>
              <w:rPr>
                <w:rFonts w:hint="eastAsia" w:cs="Times New Roman"/>
                <w:color w:val="000000" w:themeColor="text1"/>
                <w:kern w:val="2"/>
                <w:szCs w:val="28"/>
                <w:lang w:val="en-US" w:eastAsia="zh-CN"/>
                <w14:textFill>
                  <w14:solidFill>
                    <w14:schemeClr w14:val="tx1"/>
                  </w14:solidFill>
                </w14:textFill>
              </w:rPr>
              <w:t>5.污染防治方案</w:t>
            </w:r>
          </w:p>
          <w:p>
            <w:pPr>
              <w:adjustRightInd/>
              <w:spacing w:line="520" w:lineRule="exact"/>
              <w:ind w:firstLine="0" w:firstLineChars="0"/>
              <w:jc w:val="left"/>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lang w:val="en-US" w:eastAsia="zh-CN"/>
                <w14:textFill>
                  <w14:solidFill>
                    <w14:schemeClr w14:val="tx1"/>
                  </w14:solidFill>
                </w14:textFill>
              </w:rPr>
              <w:t>6</w:t>
            </w:r>
            <w:r>
              <w:rPr>
                <w:rFonts w:cs="Times New Roman"/>
                <w:color w:val="000000" w:themeColor="text1"/>
                <w:kern w:val="2"/>
                <w:szCs w:val="28"/>
                <w14:textFill>
                  <w14:solidFill>
                    <w14:schemeClr w14:val="tx1"/>
                  </w14:solidFill>
                </w14:textFill>
              </w:rPr>
              <w:t>.环境应急预案评审意</w:t>
            </w:r>
            <w:r>
              <w:rPr>
                <w:rFonts w:hint="eastAsia" w:cs="Times New Roman"/>
                <w:color w:val="000000" w:themeColor="text1"/>
                <w:kern w:val="2"/>
                <w:szCs w:val="28"/>
                <w14:textFill>
                  <w14:solidFill>
                    <w14:schemeClr w14:val="tx1"/>
                  </w14:solidFill>
                </w14:textFill>
              </w:rPr>
              <w:t>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8"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备案意见</w:t>
            </w:r>
          </w:p>
        </w:tc>
        <w:tc>
          <w:tcPr>
            <w:tcW w:w="6720" w:type="dxa"/>
            <w:gridSpan w:val="3"/>
            <w:tcBorders>
              <w:top w:val="single" w:color="auto" w:sz="4" w:space="0"/>
              <w:left w:val="single" w:color="auto" w:sz="4" w:space="0"/>
              <w:bottom w:val="single" w:color="auto" w:sz="4" w:space="0"/>
              <w:right w:val="single" w:color="auto" w:sz="12" w:space="0"/>
            </w:tcBorders>
            <w:vAlign w:val="center"/>
          </w:tcPr>
          <w:p>
            <w:pPr>
              <w:adjustRightInd/>
              <w:spacing w:line="520" w:lineRule="exact"/>
              <w:ind w:left="745" w:leftChars="266" w:firstLine="0" w:firstLineChars="0"/>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该单位的突发环境事件应急预案备案文件已于 年 月 日收讫，文件齐全，予以备案。</w:t>
            </w:r>
          </w:p>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p>
            <w:pPr>
              <w:adjustRightInd/>
              <w:spacing w:line="520" w:lineRule="exact"/>
              <w:ind w:firstLine="560"/>
              <w:jc w:val="center"/>
              <w:textAlignment w:val="auto"/>
              <w:rPr>
                <w:rFonts w:cs="Times New Roman"/>
                <w:color w:val="000000" w:themeColor="text1"/>
                <w:kern w:val="2"/>
                <w:szCs w:val="28"/>
                <w14:textFill>
                  <w14:solidFill>
                    <w14:schemeClr w14:val="tx1"/>
                  </w14:solidFill>
                </w14:textFill>
              </w:rPr>
            </w:pPr>
          </w:p>
          <w:p>
            <w:pPr>
              <w:adjustRightInd/>
              <w:spacing w:line="520" w:lineRule="exact"/>
              <w:ind w:firstLine="0" w:firstLineChars="0"/>
              <w:textAlignment w:val="auto"/>
              <w:rPr>
                <w:rFonts w:cs="Times New Roman"/>
                <w:color w:val="000000" w:themeColor="text1"/>
                <w:kern w:val="2"/>
                <w:szCs w:val="28"/>
                <w14:textFill>
                  <w14:solidFill>
                    <w14:schemeClr w14:val="tx1"/>
                  </w14:solidFill>
                </w14:textFill>
              </w:rPr>
            </w:pPr>
          </w:p>
          <w:p>
            <w:pPr>
              <w:adjustRightInd/>
              <w:spacing w:line="520" w:lineRule="exact"/>
              <w:ind w:firstLine="560"/>
              <w:jc w:val="center"/>
              <w:textAlignment w:val="auto"/>
              <w:rPr>
                <w:rFonts w:cs="Times New Roman"/>
                <w:color w:val="000000" w:themeColor="text1"/>
                <w:kern w:val="2"/>
                <w:szCs w:val="28"/>
                <w14:textFill>
                  <w14:solidFill>
                    <w14:schemeClr w14:val="tx1"/>
                  </w14:solidFill>
                </w14:textFill>
              </w:rPr>
            </w:pPr>
          </w:p>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备案受理部门（公章）</w:t>
            </w:r>
          </w:p>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8"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备案编号</w:t>
            </w:r>
          </w:p>
        </w:tc>
        <w:tc>
          <w:tcPr>
            <w:tcW w:w="6720" w:type="dxa"/>
            <w:gridSpan w:val="3"/>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808" w:type="dxa"/>
            <w:tcBorders>
              <w:top w:val="single" w:color="auto" w:sz="4" w:space="0"/>
              <w:left w:val="single" w:color="auto" w:sz="12" w:space="0"/>
              <w:bottom w:val="single" w:color="auto" w:sz="4"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报送单位</w:t>
            </w:r>
          </w:p>
        </w:tc>
        <w:tc>
          <w:tcPr>
            <w:tcW w:w="6720" w:type="dxa"/>
            <w:gridSpan w:val="3"/>
            <w:tcBorders>
              <w:top w:val="single" w:color="auto" w:sz="4" w:space="0"/>
              <w:left w:val="single" w:color="auto" w:sz="4" w:space="0"/>
              <w:bottom w:val="single" w:color="auto" w:sz="4" w:space="0"/>
              <w:right w:val="single" w:color="auto" w:sz="12" w:space="0"/>
            </w:tcBorders>
            <w:vAlign w:val="center"/>
          </w:tcPr>
          <w:p>
            <w:pPr>
              <w:adjustRightInd/>
              <w:spacing w:line="520" w:lineRule="exact"/>
              <w:ind w:firstLine="560"/>
              <w:textAlignment w:val="auto"/>
              <w:rPr>
                <w:rFonts w:cs="Times New Roman"/>
                <w:color w:val="000000" w:themeColor="text1"/>
                <w:kern w:val="2"/>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8" w:type="dxa"/>
            <w:tcBorders>
              <w:top w:val="single" w:color="auto" w:sz="4" w:space="0"/>
              <w:left w:val="single" w:color="auto" w:sz="12" w:space="0"/>
              <w:bottom w:val="single" w:color="auto" w:sz="12"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受理部门负责人</w:t>
            </w:r>
          </w:p>
        </w:tc>
        <w:tc>
          <w:tcPr>
            <w:tcW w:w="3404" w:type="dxa"/>
            <w:tcBorders>
              <w:top w:val="single" w:color="auto" w:sz="4" w:space="0"/>
              <w:left w:val="single" w:color="auto" w:sz="4" w:space="0"/>
              <w:bottom w:val="single" w:color="auto" w:sz="12"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tc>
        <w:tc>
          <w:tcPr>
            <w:tcW w:w="1419" w:type="dxa"/>
            <w:tcBorders>
              <w:top w:val="single" w:color="auto" w:sz="4" w:space="0"/>
              <w:left w:val="single" w:color="auto" w:sz="4" w:space="0"/>
              <w:bottom w:val="single" w:color="auto" w:sz="12" w:space="0"/>
              <w:right w:val="single" w:color="auto" w:sz="4"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r>
              <w:rPr>
                <w:rFonts w:hint="eastAsia" w:cs="Times New Roman"/>
                <w:color w:val="000000" w:themeColor="text1"/>
                <w:kern w:val="2"/>
                <w:szCs w:val="28"/>
                <w14:textFill>
                  <w14:solidFill>
                    <w14:schemeClr w14:val="tx1"/>
                  </w14:solidFill>
                </w14:textFill>
              </w:rPr>
              <w:t>经办人</w:t>
            </w:r>
          </w:p>
        </w:tc>
        <w:tc>
          <w:tcPr>
            <w:tcW w:w="1897" w:type="dxa"/>
            <w:tcBorders>
              <w:top w:val="single" w:color="auto" w:sz="4" w:space="0"/>
              <w:left w:val="single" w:color="auto" w:sz="4" w:space="0"/>
              <w:bottom w:val="single" w:color="auto" w:sz="12" w:space="0"/>
              <w:right w:val="single" w:color="auto" w:sz="12" w:space="0"/>
            </w:tcBorders>
            <w:vAlign w:val="center"/>
          </w:tcPr>
          <w:p>
            <w:pPr>
              <w:adjustRightInd/>
              <w:spacing w:line="520" w:lineRule="exact"/>
              <w:ind w:firstLine="0" w:firstLineChars="0"/>
              <w:jc w:val="center"/>
              <w:textAlignment w:val="auto"/>
              <w:rPr>
                <w:rFonts w:cs="Times New Roman"/>
                <w:color w:val="000000" w:themeColor="text1"/>
                <w:kern w:val="2"/>
                <w:szCs w:val="28"/>
                <w14:textFill>
                  <w14:solidFill>
                    <w14:schemeClr w14:val="tx1"/>
                  </w14:solidFill>
                </w14:textFill>
              </w:rPr>
            </w:pPr>
          </w:p>
        </w:tc>
      </w:tr>
    </w:tbl>
    <w:p>
      <w:pPr>
        <w:widowControl/>
        <w:spacing w:before="312" w:beforeLines="100" w:after="312" w:afterLines="100" w:line="240" w:lineRule="auto"/>
        <w:ind w:firstLine="0" w:firstLineChars="0"/>
        <w:jc w:val="center"/>
        <w:textAlignment w:val="auto"/>
        <w:rPr>
          <w:rFonts w:cs="Times New Roman"/>
          <w:color w:val="000000" w:themeColor="text1"/>
          <w:spacing w:val="-6"/>
          <w:kern w:val="2"/>
          <w:sz w:val="21"/>
          <w:szCs w:val="21"/>
          <w14:textFill>
            <w14:solidFill>
              <w14:schemeClr w14:val="tx1"/>
            </w14:solidFill>
          </w14:textFill>
        </w:rPr>
        <w:sectPr>
          <w:footerReference r:id="rId15" w:type="default"/>
          <w:footerReference r:id="rId16" w:type="even"/>
          <w:pgSz w:w="11906" w:h="16838"/>
          <w:pgMar w:top="1440" w:right="1800" w:bottom="1440" w:left="1800" w:header="851" w:footer="992" w:gutter="0"/>
          <w:pgNumType w:fmt="upperRoman"/>
          <w:cols w:space="720" w:num="1"/>
          <w:docGrid w:type="lines" w:linePitch="312" w:charSpace="0"/>
        </w:sectPr>
      </w:pPr>
      <w:r>
        <w:rPr>
          <w:rFonts w:cs="Times New Roman"/>
          <w:color w:val="000000" w:themeColor="text1"/>
          <w:spacing w:val="-6"/>
          <w:kern w:val="2"/>
          <w:sz w:val="21"/>
          <w:szCs w:val="21"/>
          <w14:textFill>
            <w14:solidFill>
              <w14:schemeClr w14:val="tx1"/>
            </w14:solidFill>
          </w14:textFill>
        </w:rPr>
        <w:t>注：备案编号由企业所在地县级行政区划代码、年份、流水号、企业环境风险级别（一般L、较大M、重大H）及跨区域（T）表征字母组成。例如，河北省永年县××重大环境风险非跨区域企业环境应急预案2016年备案，是永年县环境保护局当年受理的第26个备案，则编号为：130429-2016-026-H;如果是跨区域的企业，则编号为：130429-2016-026-HT。</w:t>
      </w:r>
    </w:p>
    <w:p>
      <w:pPr>
        <w:pStyle w:val="18"/>
        <w:jc w:val="center"/>
        <w:rPr>
          <w:color w:val="000000" w:themeColor="text1"/>
          <w:szCs w:val="36"/>
          <w14:textFill>
            <w14:solidFill>
              <w14:schemeClr w14:val="tx1"/>
            </w14:solidFill>
          </w14:textFill>
        </w:rPr>
      </w:pPr>
      <w:bookmarkStart w:id="0" w:name="_Toc43143157"/>
      <w:r>
        <w:rPr>
          <w:rFonts w:hint="eastAsia"/>
          <w:color w:val="000000" w:themeColor="text1"/>
          <w:szCs w:val="36"/>
          <w14:textFill>
            <w14:solidFill>
              <w14:schemeClr w14:val="tx1"/>
            </w14:solidFill>
          </w14:textFill>
        </w:rPr>
        <w:t>云南安宁泰源工贸集团有限公司景洪分公司</w:t>
      </w:r>
      <w:r>
        <w:rPr>
          <w:color w:val="000000" w:themeColor="text1"/>
          <w:szCs w:val="36"/>
          <w14:textFill>
            <w14:solidFill>
              <w14:schemeClr w14:val="tx1"/>
            </w14:solidFill>
          </w14:textFill>
        </w:rPr>
        <w:t>尾矿库</w:t>
      </w:r>
      <w:bookmarkEnd w:id="0"/>
    </w:p>
    <w:p>
      <w:pPr>
        <w:pStyle w:val="18"/>
        <w:jc w:val="center"/>
        <w:rPr>
          <w:color w:val="000000" w:themeColor="text1"/>
          <w:szCs w:val="44"/>
          <w14:textFill>
            <w14:solidFill>
              <w14:schemeClr w14:val="tx1"/>
            </w14:solidFill>
          </w14:textFill>
        </w:rPr>
      </w:pPr>
      <w:bookmarkStart w:id="1" w:name="_Toc43143158"/>
      <w:r>
        <w:rPr>
          <w:color w:val="000000" w:themeColor="text1"/>
          <w:szCs w:val="44"/>
          <w14:textFill>
            <w14:solidFill>
              <w14:schemeClr w14:val="tx1"/>
            </w14:solidFill>
          </w14:textFill>
        </w:rPr>
        <w:t>突发环境事件应急预案发布批准书</w:t>
      </w:r>
      <w:bookmarkEnd w:id="1"/>
    </w:p>
    <w:p>
      <w:pPr>
        <w:adjustRightInd/>
        <w:ind w:firstLine="560"/>
        <w:textAlignment w:val="auto"/>
        <w:rPr>
          <w:rFonts w:cs="Times New Roman"/>
          <w:color w:val="000000" w:themeColor="text1"/>
          <w:kern w:val="2"/>
          <w:szCs w:val="22"/>
          <w14:textFill>
            <w14:solidFill>
              <w14:schemeClr w14:val="tx1"/>
            </w14:solidFill>
          </w14:textFill>
        </w:rPr>
      </w:pPr>
      <w:r>
        <w:rPr>
          <w:rFonts w:cs="Times New Roman"/>
          <w:color w:val="000000" w:themeColor="text1"/>
          <w:kern w:val="2"/>
          <w:szCs w:val="22"/>
          <w14:textFill>
            <w14:solidFill>
              <w14:schemeClr w14:val="tx1"/>
            </w14:solidFill>
          </w14:textFill>
        </w:rPr>
        <w:t>根据《中华人民共和国突发事件应对法》的有关要求，</w:t>
      </w:r>
      <w:r>
        <w:rPr>
          <w:rFonts w:hint="eastAsia" w:cs="Times New Roman"/>
          <w:color w:val="000000" w:themeColor="text1"/>
          <w:szCs w:val="22"/>
          <w14:textFill>
            <w14:solidFill>
              <w14:schemeClr w14:val="tx1"/>
            </w14:solidFill>
          </w14:textFill>
        </w:rPr>
        <w:t>云南安宁泰源工贸集团有限公司景洪分</w:t>
      </w:r>
      <w:r>
        <w:rPr>
          <w:rFonts w:hint="eastAsia" w:cs="Times New Roman"/>
          <w:color w:val="000000" w:themeColor="text1"/>
          <w:kern w:val="2"/>
          <w:szCs w:val="22"/>
          <w14:textFill>
            <w14:solidFill>
              <w14:schemeClr w14:val="tx1"/>
            </w14:solidFill>
          </w14:textFill>
        </w:rPr>
        <w:t>公司</w:t>
      </w:r>
      <w:r>
        <w:rPr>
          <w:rFonts w:cs="Times New Roman"/>
          <w:color w:val="000000" w:themeColor="text1"/>
          <w:kern w:val="2"/>
          <w:szCs w:val="22"/>
          <w14:textFill>
            <w14:solidFill>
              <w14:schemeClr w14:val="tx1"/>
            </w14:solidFill>
          </w14:textFill>
        </w:rPr>
        <w:t>依据《尾矿库环境应急管理工作指南》《尾矿库环境风险评估技术导则》及《尾矿库应急预案编制指南》等技术规范，结合</w:t>
      </w:r>
      <w:r>
        <w:rPr>
          <w:rFonts w:hint="eastAsia" w:cs="Times New Roman"/>
          <w:color w:val="000000" w:themeColor="text1"/>
          <w:szCs w:val="22"/>
          <w14:textFill>
            <w14:solidFill>
              <w14:schemeClr w14:val="tx1"/>
            </w14:solidFill>
          </w14:textFill>
        </w:rPr>
        <w:t>云南安宁泰源工贸集团有限公司景洪分公司</w:t>
      </w:r>
      <w:r>
        <w:rPr>
          <w:rFonts w:cs="Times New Roman"/>
          <w:color w:val="000000" w:themeColor="text1"/>
          <w:kern w:val="2"/>
          <w:szCs w:val="22"/>
          <w14:textFill>
            <w14:solidFill>
              <w14:schemeClr w14:val="tx1"/>
            </w14:solidFill>
          </w14:textFill>
        </w:rPr>
        <w:t>尾矿库实际情况，编制完成了《</w:t>
      </w:r>
      <w:r>
        <w:rPr>
          <w:rFonts w:hint="eastAsia" w:cs="Times New Roman"/>
          <w:color w:val="000000" w:themeColor="text1"/>
          <w:szCs w:val="22"/>
          <w14:textFill>
            <w14:solidFill>
              <w14:schemeClr w14:val="tx1"/>
            </w14:solidFill>
          </w14:textFill>
        </w:rPr>
        <w:t>云南安宁泰源工贸集团有限公司景洪分公司</w:t>
      </w:r>
      <w:r>
        <w:rPr>
          <w:rFonts w:cs="Times New Roman"/>
          <w:color w:val="000000" w:themeColor="text1"/>
          <w:kern w:val="2"/>
          <w:szCs w:val="22"/>
          <w14:textFill>
            <w14:solidFill>
              <w14:schemeClr w14:val="tx1"/>
            </w14:solidFill>
          </w14:textFill>
        </w:rPr>
        <w:t>尾矿库突发环境事件应急预案》</w:t>
      </w:r>
      <w:r>
        <w:rPr>
          <w:rFonts w:hint="eastAsia" w:cs="Times New Roman"/>
          <w:color w:val="000000" w:themeColor="text1"/>
          <w:kern w:val="2"/>
          <w:szCs w:val="22"/>
          <w14:textFill>
            <w14:solidFill>
              <w14:schemeClr w14:val="tx1"/>
            </w14:solidFill>
          </w14:textFill>
        </w:rPr>
        <w:t>并附《</w:t>
      </w:r>
      <w:r>
        <w:rPr>
          <w:rFonts w:hint="eastAsia" w:cs="Times New Roman"/>
          <w:color w:val="000000" w:themeColor="text1"/>
          <w:szCs w:val="22"/>
          <w14:textFill>
            <w14:solidFill>
              <w14:schemeClr w14:val="tx1"/>
            </w14:solidFill>
          </w14:textFill>
        </w:rPr>
        <w:t>云南安宁泰源工贸集团有限公司景洪分公司</w:t>
      </w:r>
      <w:r>
        <w:rPr>
          <w:rFonts w:hint="eastAsia" w:cs="Times New Roman"/>
          <w:color w:val="000000" w:themeColor="text1"/>
          <w:kern w:val="2"/>
          <w:szCs w:val="22"/>
          <w14:textFill>
            <w14:solidFill>
              <w14:schemeClr w14:val="tx1"/>
            </w14:solidFill>
          </w14:textFill>
        </w:rPr>
        <w:t>尾矿库环境风险评估报告》</w:t>
      </w:r>
      <w:r>
        <w:rPr>
          <w:rFonts w:cs="Times New Roman"/>
          <w:color w:val="000000" w:themeColor="text1"/>
          <w:kern w:val="2"/>
          <w:szCs w:val="22"/>
          <w14:textFill>
            <w14:solidFill>
              <w14:schemeClr w14:val="tx1"/>
            </w14:solidFill>
          </w14:textFill>
        </w:rPr>
        <w:t>。经公司安全环保工作会议审议通过，现予发布。</w:t>
      </w:r>
    </w:p>
    <w:p>
      <w:pPr>
        <w:pStyle w:val="3"/>
        <w:ind w:firstLine="640" w:firstLineChars="200"/>
        <w:rPr>
          <w:rFonts w:ascii="Times New Roman" w:hAnsi="Times New Roman" w:eastAsia="仿宋" w:cs="Times New Roman"/>
          <w:color w:val="000000" w:themeColor="text1"/>
          <w:sz w:val="32"/>
          <w:szCs w:val="32"/>
          <w14:textFill>
            <w14:solidFill>
              <w14:schemeClr w14:val="tx1"/>
            </w14:solidFill>
          </w14:textFill>
        </w:rPr>
      </w:pPr>
    </w:p>
    <w:p>
      <w:pPr>
        <w:pStyle w:val="3"/>
        <w:ind w:firstLine="5120" w:firstLineChars="1600"/>
        <w:rPr>
          <w:rFonts w:ascii="Times New Roman" w:hAnsi="Times New Roman" w:eastAsia="仿宋" w:cs="Times New Roman"/>
          <w:color w:val="000000" w:themeColor="text1"/>
          <w:sz w:val="32"/>
          <w:szCs w:val="32"/>
          <w14:textFill>
            <w14:solidFill>
              <w14:schemeClr w14:val="tx1"/>
            </w14:solidFill>
          </w14:textFill>
        </w:rPr>
      </w:pPr>
    </w:p>
    <w:p>
      <w:pPr>
        <w:pStyle w:val="3"/>
        <w:ind w:firstLine="5120" w:firstLineChars="16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批准人：</w:t>
      </w:r>
    </w:p>
    <w:p>
      <w:pPr>
        <w:pStyle w:val="3"/>
        <w:ind w:firstLine="5120" w:firstLineChars="1600"/>
        <w:rPr>
          <w:rFonts w:ascii="Times New Roman" w:hAnsi="Times New Roman" w:eastAsia="仿宋" w:cs="Times New Roman"/>
          <w:color w:val="000000" w:themeColor="text1"/>
          <w:sz w:val="32"/>
          <w:szCs w:val="32"/>
          <w14:textFill>
            <w14:solidFill>
              <w14:schemeClr w14:val="tx1"/>
            </w14:solidFill>
          </w14:textFill>
        </w:rPr>
        <w:sectPr>
          <w:footerReference r:id="rId19" w:type="first"/>
          <w:footerReference r:id="rId17" w:type="default"/>
          <w:footerReference r:id="rId18" w:type="even"/>
          <w:pgSz w:w="11906" w:h="16838"/>
          <w:pgMar w:top="1440" w:right="1800" w:bottom="1440" w:left="1800" w:header="851" w:footer="992" w:gutter="0"/>
          <w:pgNumType w:fmt="upperRoman"/>
          <w:cols w:space="720" w:num="1"/>
          <w:titlePg/>
          <w:docGrid w:type="lines" w:linePitch="381" w:charSpace="0"/>
        </w:sectPr>
      </w:pPr>
      <w:r>
        <w:rPr>
          <w:rFonts w:hint="eastAsia" w:ascii="Times New Roman" w:hAnsi="Times New Roman" w:eastAsia="仿宋" w:cs="Times New Roman"/>
          <w:color w:val="000000" w:themeColor="text1"/>
          <w:sz w:val="32"/>
          <w:szCs w:val="32"/>
          <w14:textFill>
            <w14:solidFill>
              <w14:schemeClr w14:val="tx1"/>
            </w14:solidFill>
          </w14:textFill>
        </w:rPr>
        <w:t xml:space="preserve">   </w:t>
      </w:r>
      <w:r>
        <w:rPr>
          <w:rFonts w:ascii="Times New Roman" w:hAnsi="Times New Roman" w:eastAsia="仿宋" w:cs="Times New Roman"/>
          <w:color w:val="000000" w:themeColor="text1"/>
          <w:sz w:val="32"/>
          <w:szCs w:val="32"/>
          <w14:textFill>
            <w14:solidFill>
              <w14:schemeClr w14:val="tx1"/>
            </w14:solidFill>
          </w14:textFill>
        </w:rPr>
        <w:t>年</w:t>
      </w:r>
      <w:r>
        <w:rPr>
          <w:rFonts w:hint="eastAsia" w:ascii="Times New Roman" w:hAnsi="Times New Roman" w:eastAsia="仿宋" w:cs="Times New Roman"/>
          <w:color w:val="000000" w:themeColor="text1"/>
          <w:sz w:val="32"/>
          <w:szCs w:val="32"/>
          <w14:textFill>
            <w14:solidFill>
              <w14:schemeClr w14:val="tx1"/>
            </w14:solidFill>
          </w14:textFill>
        </w:rPr>
        <w:t xml:space="preserve">   </w:t>
      </w:r>
      <w:r>
        <w:rPr>
          <w:rFonts w:ascii="Times New Roman" w:hAnsi="Times New Roman" w:eastAsia="仿宋" w:cs="Times New Roman"/>
          <w:color w:val="000000" w:themeColor="text1"/>
          <w:sz w:val="32"/>
          <w:szCs w:val="32"/>
          <w14:textFill>
            <w14:solidFill>
              <w14:schemeClr w14:val="tx1"/>
            </w14:solidFill>
          </w14:textFill>
        </w:rPr>
        <w:t>月</w:t>
      </w:r>
      <w:r>
        <w:rPr>
          <w:rFonts w:hint="eastAsia" w:ascii="Times New Roman" w:hAnsi="Times New Roman" w:eastAsia="仿宋" w:cs="Times New Roman"/>
          <w:color w:val="000000" w:themeColor="text1"/>
          <w:sz w:val="32"/>
          <w:szCs w:val="32"/>
          <w14:textFill>
            <w14:solidFill>
              <w14:schemeClr w14:val="tx1"/>
            </w14:solidFill>
          </w14:textFill>
        </w:rPr>
        <w:t xml:space="preserve">    </w:t>
      </w:r>
      <w:r>
        <w:rPr>
          <w:rFonts w:ascii="Times New Roman" w:hAnsi="Times New Roman" w:eastAsia="仿宋" w:cs="Times New Roman"/>
          <w:color w:val="000000" w:themeColor="text1"/>
          <w:sz w:val="32"/>
          <w:szCs w:val="32"/>
          <w14:textFill>
            <w14:solidFill>
              <w14:schemeClr w14:val="tx1"/>
            </w14:solidFill>
          </w14:textFill>
        </w:rPr>
        <w:t>日</w:t>
      </w:r>
    </w:p>
    <w:p>
      <w:pPr>
        <w:pStyle w:val="18"/>
        <w:jc w:val="center"/>
        <w:rPr>
          <w:color w:val="000000" w:themeColor="text1"/>
          <w:kern w:val="44"/>
          <w14:textFill>
            <w14:solidFill>
              <w14:schemeClr w14:val="tx1"/>
            </w14:solidFill>
          </w14:textFill>
        </w:rPr>
      </w:pPr>
      <w:bookmarkStart w:id="2" w:name="_Toc22621"/>
      <w:bookmarkStart w:id="3" w:name="_Toc14532"/>
      <w:bookmarkStart w:id="4" w:name="_Toc12905002"/>
      <w:bookmarkStart w:id="5" w:name="_Toc11874700"/>
      <w:bookmarkStart w:id="6" w:name="_Toc22895"/>
      <w:bookmarkStart w:id="7" w:name="_Toc29246"/>
      <w:bookmarkStart w:id="8" w:name="_Toc43143159"/>
      <w:bookmarkStart w:id="9" w:name="_Toc17275"/>
      <w:bookmarkStart w:id="10" w:name="_Toc6440"/>
      <w:r>
        <w:rPr>
          <w:rFonts w:hint="eastAsia"/>
          <w:color w:val="000000" w:themeColor="text1"/>
          <w:kern w:val="44"/>
          <w:lang w:val="en-US" w:eastAsia="zh-CN"/>
          <w14:textFill>
            <w14:solidFill>
              <w14:schemeClr w14:val="tx1"/>
            </w14:solidFill>
          </w14:textFill>
        </w:rPr>
        <w:t>修编</w:t>
      </w:r>
      <w:r>
        <w:rPr>
          <w:color w:val="000000" w:themeColor="text1"/>
          <w:kern w:val="44"/>
          <w14:textFill>
            <w14:solidFill>
              <w14:schemeClr w14:val="tx1"/>
            </w14:solidFill>
          </w14:textFill>
        </w:rPr>
        <w:t>说明</w:t>
      </w:r>
      <w:bookmarkEnd w:id="2"/>
      <w:bookmarkEnd w:id="3"/>
      <w:bookmarkEnd w:id="4"/>
      <w:bookmarkEnd w:id="5"/>
      <w:bookmarkEnd w:id="6"/>
      <w:bookmarkEnd w:id="7"/>
      <w:bookmarkEnd w:id="8"/>
      <w:bookmarkEnd w:id="9"/>
      <w:bookmarkEnd w:id="10"/>
    </w:p>
    <w:p>
      <w:pPr>
        <w:spacing w:line="360" w:lineRule="auto"/>
        <w:rPr>
          <w:rFonts w:eastAsia="仿宋"/>
          <w:b/>
          <w:color w:val="000000" w:themeColor="text1"/>
          <w:sz w:val="28"/>
          <w:szCs w:val="28"/>
          <w14:textFill>
            <w14:solidFill>
              <w14:schemeClr w14:val="tx1"/>
            </w14:solidFill>
          </w14:textFill>
        </w:rPr>
      </w:pPr>
      <w:r>
        <w:rPr>
          <w:rFonts w:eastAsia="仿宋"/>
          <w:b/>
          <w:color w:val="000000" w:themeColor="text1"/>
          <w:sz w:val="28"/>
          <w:szCs w:val="28"/>
          <w14:textFill>
            <w14:solidFill>
              <w14:schemeClr w14:val="tx1"/>
            </w14:solidFill>
          </w14:textFill>
        </w:rPr>
        <w:t>一、</w:t>
      </w:r>
      <w:r>
        <w:rPr>
          <w:rFonts w:hint="eastAsia" w:eastAsia="仿宋"/>
          <w:b/>
          <w:color w:val="000000" w:themeColor="text1"/>
          <w:sz w:val="28"/>
          <w:szCs w:val="28"/>
          <w14:textFill>
            <w14:solidFill>
              <w14:schemeClr w14:val="tx1"/>
            </w14:solidFill>
          </w14:textFill>
        </w:rPr>
        <w:t>修编过程概述</w:t>
      </w:r>
    </w:p>
    <w:p>
      <w:pPr>
        <w:spacing w:line="360" w:lineRule="auto"/>
        <w:ind w:firstLine="560" w:firstLineChars="200"/>
        <w:rPr>
          <w:rFonts w:hint="eastAsia" w:eastAsia="仿宋"/>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rFonts w:hint="eastAsia" w:eastAsia="仿宋"/>
          <w:color w:val="000000" w:themeColor="text1"/>
          <w:sz w:val="28"/>
          <w:szCs w:val="28"/>
          <w14:textFill>
            <w14:solidFill>
              <w14:schemeClr w14:val="tx1"/>
            </w14:solidFill>
          </w14:textFill>
        </w:rPr>
        <w:t>已于20</w:t>
      </w:r>
      <w:r>
        <w:rPr>
          <w:rFonts w:hint="eastAsia"/>
          <w:color w:val="000000" w:themeColor="text1"/>
          <w:sz w:val="28"/>
          <w:szCs w:val="28"/>
          <w:lang w:val="en-US" w:eastAsia="zh-CN"/>
          <w14:textFill>
            <w14:solidFill>
              <w14:schemeClr w14:val="tx1"/>
            </w14:solidFill>
          </w14:textFill>
        </w:rPr>
        <w:t>20</w:t>
      </w:r>
      <w:r>
        <w:rPr>
          <w:rFonts w:hint="eastAsia" w:eastAsia="仿宋"/>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6月</w:t>
      </w:r>
      <w:r>
        <w:rPr>
          <w:rFonts w:hint="eastAsia" w:eastAsia="仿宋"/>
          <w:color w:val="000000" w:themeColor="text1"/>
          <w:sz w:val="28"/>
          <w:szCs w:val="28"/>
          <w14:textFill>
            <w14:solidFill>
              <w14:schemeClr w14:val="tx1"/>
            </w14:solidFill>
          </w14:textFill>
        </w:rPr>
        <w:t>编制了突发环境事件应急预案，于20</w:t>
      </w:r>
      <w:r>
        <w:rPr>
          <w:rFonts w:hint="eastAsia"/>
          <w:color w:val="000000" w:themeColor="text1"/>
          <w:sz w:val="28"/>
          <w:szCs w:val="28"/>
          <w:lang w:val="en-US" w:eastAsia="zh-CN"/>
          <w14:textFill>
            <w14:solidFill>
              <w14:schemeClr w14:val="tx1"/>
            </w14:solidFill>
          </w14:textFill>
        </w:rPr>
        <w:t>20</w:t>
      </w:r>
      <w:r>
        <w:rPr>
          <w:rFonts w:hint="eastAsia" w:eastAsia="仿宋"/>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7</w:t>
      </w:r>
      <w:r>
        <w:rPr>
          <w:rFonts w:hint="eastAsia" w:eastAsia="仿宋"/>
          <w:color w:val="000000" w:themeColor="text1"/>
          <w:sz w:val="28"/>
          <w:szCs w:val="28"/>
          <w14:textFill>
            <w14:solidFill>
              <w14:schemeClr w14:val="tx1"/>
            </w14:solidFill>
          </w14:textFill>
        </w:rPr>
        <w:t>月</w:t>
      </w:r>
      <w:r>
        <w:rPr>
          <w:rFonts w:hint="eastAsia"/>
          <w:color w:val="000000" w:themeColor="text1"/>
          <w:sz w:val="28"/>
          <w:szCs w:val="28"/>
          <w:lang w:val="en-US" w:eastAsia="zh-CN"/>
          <w14:textFill>
            <w14:solidFill>
              <w14:schemeClr w14:val="tx1"/>
            </w14:solidFill>
          </w14:textFill>
        </w:rPr>
        <w:t>1</w:t>
      </w:r>
      <w:r>
        <w:rPr>
          <w:rFonts w:hint="eastAsia" w:eastAsia="仿宋"/>
          <w:color w:val="000000" w:themeColor="text1"/>
          <w:sz w:val="28"/>
          <w:szCs w:val="28"/>
          <w14:textFill>
            <w14:solidFill>
              <w14:schemeClr w14:val="tx1"/>
            </w14:solidFill>
          </w14:textFill>
        </w:rPr>
        <w:t>日在景洪市环境监察大队进行了备案（备案编号：532801-20</w:t>
      </w:r>
      <w:r>
        <w:rPr>
          <w:rFonts w:hint="eastAsia"/>
          <w:color w:val="000000" w:themeColor="text1"/>
          <w:sz w:val="28"/>
          <w:szCs w:val="28"/>
          <w:lang w:val="en-US" w:eastAsia="zh-CN"/>
          <w14:textFill>
            <w14:solidFill>
              <w14:schemeClr w14:val="tx1"/>
            </w14:solidFill>
          </w14:textFill>
        </w:rPr>
        <w:t>20</w:t>
      </w:r>
      <w:r>
        <w:rPr>
          <w:rFonts w:hint="eastAsia" w:eastAsia="仿宋"/>
          <w:color w:val="000000" w:themeColor="text1"/>
          <w:sz w:val="28"/>
          <w:szCs w:val="28"/>
          <w14:textFill>
            <w14:solidFill>
              <w14:schemeClr w14:val="tx1"/>
            </w14:solidFill>
          </w14:textFill>
        </w:rPr>
        <w:t>-00</w:t>
      </w:r>
      <w:r>
        <w:rPr>
          <w:rFonts w:hint="eastAsia"/>
          <w:color w:val="000000" w:themeColor="text1"/>
          <w:sz w:val="28"/>
          <w:szCs w:val="28"/>
          <w:lang w:val="en-US" w:eastAsia="zh-CN"/>
          <w14:textFill>
            <w14:solidFill>
              <w14:schemeClr w14:val="tx1"/>
            </w14:solidFill>
          </w14:textFill>
        </w:rPr>
        <w:t>8</w:t>
      </w:r>
      <w:r>
        <w:rPr>
          <w:rFonts w:hint="eastAsia" w:eastAsia="仿宋"/>
          <w:color w:val="000000" w:themeColor="text1"/>
          <w:sz w:val="28"/>
          <w:szCs w:val="28"/>
          <w14:textFill>
            <w14:solidFill>
              <w14:schemeClr w14:val="tx1"/>
            </w14:solidFill>
          </w14:textFill>
        </w:rPr>
        <w:t>-L），现因</w:t>
      </w:r>
      <w:r>
        <w:rPr>
          <w:rFonts w:hint="eastAsia"/>
          <w:color w:val="000000" w:themeColor="text1"/>
          <w:sz w:val="28"/>
          <w:szCs w:val="28"/>
          <w:lang w:val="en-US" w:eastAsia="zh-CN"/>
          <w14:textFill>
            <w14:solidFill>
              <w14:schemeClr w14:val="tx1"/>
            </w14:solidFill>
          </w14:textFill>
        </w:rPr>
        <w:t>企业对尾矿库进行回采，需增加回采工程环境风险内容</w:t>
      </w:r>
      <w:r>
        <w:rPr>
          <w:rFonts w:hint="eastAsia" w:eastAsia="仿宋"/>
          <w:color w:val="000000" w:themeColor="text1"/>
          <w:sz w:val="28"/>
          <w:szCs w:val="28"/>
          <w14:textFill>
            <w14:solidFill>
              <w14:schemeClr w14:val="tx1"/>
            </w14:solidFill>
          </w14:textFill>
        </w:rPr>
        <w:t>。根据《突发环境事件应急管理办法》、《突发环境事件信息报告办法》、《企业事业单位突发环境事件应急预案备案管理办法（试行）》（环发〔2015〕4号）和《云南省环境保护厅关于转发企业事业单位突发环境事件应急预案备案管理办法的通知》（云环通〔2015〕39号）等部门规章和云南省有关规定，</w:t>
      </w:r>
      <w:r>
        <w:rPr>
          <w:rFonts w:hint="eastAsia"/>
          <w:color w:val="000000" w:themeColor="text1"/>
          <w14:textFill>
            <w14:solidFill>
              <w14:schemeClr w14:val="tx1"/>
            </w14:solidFill>
          </w14:textFill>
        </w:rPr>
        <w:t>云南安宁泰源工贸集团有限公司景洪分公司</w:t>
      </w:r>
      <w:r>
        <w:rPr>
          <w:rFonts w:hint="eastAsia" w:eastAsia="仿宋"/>
          <w:color w:val="000000" w:themeColor="text1"/>
          <w:sz w:val="28"/>
          <w:szCs w:val="28"/>
          <w14:textFill>
            <w14:solidFill>
              <w14:schemeClr w14:val="tx1"/>
            </w14:solidFill>
          </w14:textFill>
        </w:rPr>
        <w:t>重新编制突发环境事件应急预案并向当地环境保护主管部门进行备案。</w:t>
      </w:r>
    </w:p>
    <w:p>
      <w:pPr>
        <w:spacing w:line="360" w:lineRule="auto"/>
        <w:ind w:firstLine="560" w:firstLineChars="200"/>
        <w:rPr>
          <w:color w:val="000000" w:themeColor="text1"/>
          <w14:textFill>
            <w14:solidFill>
              <w14:schemeClr w14:val="tx1"/>
            </w14:solidFill>
          </w14:textFill>
        </w:rPr>
      </w:pPr>
      <w:r>
        <w:rPr>
          <w:rFonts w:hint="eastAsia" w:eastAsia="仿宋"/>
          <w:color w:val="000000" w:themeColor="text1"/>
          <w:sz w:val="28"/>
          <w:szCs w:val="28"/>
          <w14:textFill>
            <w14:solidFill>
              <w14:schemeClr w14:val="tx1"/>
            </w14:solidFill>
          </w14:textFill>
        </w:rPr>
        <w:t>20</w:t>
      </w:r>
      <w:r>
        <w:rPr>
          <w:rFonts w:hint="eastAsia"/>
          <w:color w:val="000000" w:themeColor="text1"/>
          <w:sz w:val="28"/>
          <w:szCs w:val="28"/>
          <w:lang w:val="en-US" w:eastAsia="zh-CN"/>
          <w14:textFill>
            <w14:solidFill>
              <w14:schemeClr w14:val="tx1"/>
            </w14:solidFill>
          </w14:textFill>
        </w:rPr>
        <w:t>23</w:t>
      </w:r>
      <w:r>
        <w:rPr>
          <w:rFonts w:hint="eastAsia" w:eastAsia="仿宋"/>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6</w:t>
      </w:r>
      <w:r>
        <w:rPr>
          <w:rFonts w:hint="eastAsia" w:eastAsia="仿宋"/>
          <w:color w:val="000000" w:themeColor="text1"/>
          <w:sz w:val="28"/>
          <w:szCs w:val="28"/>
          <w14:textFill>
            <w14:solidFill>
              <w14:schemeClr w14:val="tx1"/>
            </w14:solidFill>
          </w14:textFill>
        </w:rPr>
        <w:t>月</w:t>
      </w:r>
      <w:r>
        <w:rPr>
          <w:rFonts w:hint="eastAsia"/>
          <w:color w:val="000000" w:themeColor="text1"/>
          <w14:textFill>
            <w14:solidFill>
              <w14:schemeClr w14:val="tx1"/>
            </w14:solidFill>
          </w14:textFill>
        </w:rPr>
        <w:t>云南安宁泰源工贸集团有限公司景洪分公司</w:t>
      </w:r>
      <w:r>
        <w:rPr>
          <w:rFonts w:hint="eastAsia" w:eastAsia="仿宋"/>
          <w:color w:val="000000" w:themeColor="text1"/>
          <w:sz w:val="28"/>
          <w:szCs w:val="28"/>
          <w14:textFill>
            <w14:solidFill>
              <w14:schemeClr w14:val="tx1"/>
            </w14:solidFill>
          </w14:textFill>
        </w:rPr>
        <w:t>经内部调查及资料收集后，组织单位相关人员联合编制完成《</w:t>
      </w:r>
      <w:r>
        <w:rPr>
          <w:rFonts w:hint="eastAsia"/>
          <w:color w:val="000000" w:themeColor="text1"/>
          <w14:textFill>
            <w14:solidFill>
              <w14:schemeClr w14:val="tx1"/>
            </w14:solidFill>
          </w14:textFill>
        </w:rPr>
        <w:t>云南安宁泰源工贸集团有限公司景洪分公司</w:t>
      </w:r>
      <w:r>
        <w:rPr>
          <w:rFonts w:hint="eastAsia"/>
          <w:color w:val="000000" w:themeColor="text1"/>
          <w:lang w:val="en-US" w:eastAsia="zh-CN"/>
          <w14:textFill>
            <w14:solidFill>
              <w14:schemeClr w14:val="tx1"/>
            </w14:solidFill>
          </w14:textFill>
        </w:rPr>
        <w:t>尾矿库</w:t>
      </w:r>
      <w:r>
        <w:rPr>
          <w:rFonts w:hint="eastAsia" w:eastAsia="仿宋"/>
          <w:color w:val="000000" w:themeColor="text1"/>
          <w:sz w:val="28"/>
          <w:szCs w:val="28"/>
          <w14:textFill>
            <w14:solidFill>
              <w14:schemeClr w14:val="tx1"/>
            </w14:solidFill>
          </w14:textFill>
        </w:rPr>
        <w:t>突发环境事件应急预案（初稿）》。20</w:t>
      </w:r>
      <w:r>
        <w:rPr>
          <w:rFonts w:hint="eastAsia"/>
          <w:color w:val="000000" w:themeColor="text1"/>
          <w:sz w:val="28"/>
          <w:szCs w:val="28"/>
          <w:lang w:val="en-US" w:eastAsia="zh-CN"/>
          <w14:textFill>
            <w14:solidFill>
              <w14:schemeClr w14:val="tx1"/>
            </w14:solidFill>
          </w14:textFill>
        </w:rPr>
        <w:t>23</w:t>
      </w:r>
      <w:r>
        <w:rPr>
          <w:rFonts w:hint="eastAsia" w:eastAsia="仿宋"/>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6</w:t>
      </w:r>
      <w:r>
        <w:rPr>
          <w:rFonts w:hint="eastAsia" w:eastAsia="仿宋"/>
          <w:color w:val="000000" w:themeColor="text1"/>
          <w:sz w:val="28"/>
          <w:szCs w:val="28"/>
          <w14:textFill>
            <w14:solidFill>
              <w14:schemeClr w14:val="tx1"/>
            </w14:solidFill>
          </w14:textFill>
        </w:rPr>
        <w:t>月</w:t>
      </w:r>
      <w:r>
        <w:rPr>
          <w:rFonts w:hint="eastAsia"/>
          <w:color w:val="000000" w:themeColor="text1"/>
          <w:sz w:val="28"/>
          <w:szCs w:val="28"/>
          <w:lang w:val="en-US" w:eastAsia="zh-CN"/>
          <w14:textFill>
            <w14:solidFill>
              <w14:schemeClr w14:val="tx1"/>
            </w14:solidFill>
          </w14:textFill>
        </w:rPr>
        <w:t>30</w:t>
      </w:r>
      <w:r>
        <w:rPr>
          <w:rFonts w:hint="eastAsia" w:eastAsia="仿宋"/>
          <w:color w:val="000000" w:themeColor="text1"/>
          <w:sz w:val="28"/>
          <w:szCs w:val="28"/>
          <w14:textFill>
            <w14:solidFill>
              <w14:schemeClr w14:val="tx1"/>
            </w14:solidFill>
          </w14:textFill>
        </w:rPr>
        <w:t>日，</w:t>
      </w:r>
      <w:r>
        <w:rPr>
          <w:rFonts w:hint="eastAsia"/>
          <w:color w:val="000000" w:themeColor="text1"/>
          <w14:textFill>
            <w14:solidFill>
              <w14:schemeClr w14:val="tx1"/>
            </w14:solidFill>
          </w14:textFill>
        </w:rPr>
        <w:t>云南安宁泰源工贸集团有限公司景洪分公司</w:t>
      </w:r>
      <w:r>
        <w:rPr>
          <w:rFonts w:hint="eastAsia" w:eastAsia="仿宋"/>
          <w:color w:val="000000" w:themeColor="text1"/>
          <w:sz w:val="28"/>
          <w:szCs w:val="28"/>
          <w14:textFill>
            <w14:solidFill>
              <w14:schemeClr w14:val="tx1"/>
            </w14:solidFill>
          </w14:textFill>
        </w:rPr>
        <w:t>相关人员对初步编制完成的《</w:t>
      </w:r>
      <w:r>
        <w:rPr>
          <w:rFonts w:hint="eastAsia"/>
          <w:color w:val="000000" w:themeColor="text1"/>
          <w14:textFill>
            <w14:solidFill>
              <w14:schemeClr w14:val="tx1"/>
            </w14:solidFill>
          </w14:textFill>
        </w:rPr>
        <w:t>云南安宁泰源工贸集团有限公司景洪分公司</w:t>
      </w:r>
      <w:r>
        <w:rPr>
          <w:rFonts w:hint="eastAsia"/>
          <w:color w:val="000000" w:themeColor="text1"/>
          <w:lang w:val="en-US" w:eastAsia="zh-CN"/>
          <w14:textFill>
            <w14:solidFill>
              <w14:schemeClr w14:val="tx1"/>
            </w14:solidFill>
          </w14:textFill>
        </w:rPr>
        <w:t>尾矿库</w:t>
      </w:r>
      <w:r>
        <w:rPr>
          <w:rFonts w:hint="eastAsia" w:eastAsia="仿宋"/>
          <w:color w:val="000000" w:themeColor="text1"/>
          <w:sz w:val="28"/>
          <w:szCs w:val="28"/>
          <w14:textFill>
            <w14:solidFill>
              <w14:schemeClr w14:val="tx1"/>
            </w14:solidFill>
          </w14:textFill>
        </w:rPr>
        <w:t>突发环境事件应急预案（初稿）》的适用性、可行性进行了内部评审，经分析、讨论并提出修改意见和建议；应急预案编制组根据修改意见和建议对应急预案进行了修改、完善，形成《</w:t>
      </w:r>
      <w:r>
        <w:rPr>
          <w:rFonts w:hint="eastAsia"/>
          <w:color w:val="000000" w:themeColor="text1"/>
          <w14:textFill>
            <w14:solidFill>
              <w14:schemeClr w14:val="tx1"/>
            </w14:solidFill>
          </w14:textFill>
        </w:rPr>
        <w:t>云南安宁泰源工贸集团有限公司景洪分公司</w:t>
      </w:r>
      <w:r>
        <w:rPr>
          <w:rFonts w:hint="eastAsia"/>
          <w:color w:val="000000" w:themeColor="text1"/>
          <w:lang w:val="en-US" w:eastAsia="zh-CN"/>
          <w14:textFill>
            <w14:solidFill>
              <w14:schemeClr w14:val="tx1"/>
            </w14:solidFill>
          </w14:textFill>
        </w:rPr>
        <w:t>尾矿库</w:t>
      </w:r>
      <w:r>
        <w:rPr>
          <w:rFonts w:hint="eastAsia" w:eastAsia="仿宋"/>
          <w:color w:val="000000" w:themeColor="text1"/>
          <w:sz w:val="28"/>
          <w:szCs w:val="28"/>
          <w14:textFill>
            <w14:solidFill>
              <w14:schemeClr w14:val="tx1"/>
            </w14:solidFill>
          </w14:textFill>
        </w:rPr>
        <w:t>突发环境事件应急预案》</w:t>
      </w:r>
      <w:r>
        <w:rPr>
          <w:rFonts w:hint="eastAsia"/>
          <w:color w:val="000000" w:themeColor="text1"/>
          <w:sz w:val="28"/>
          <w:szCs w:val="28"/>
          <w:lang w:eastAsia="zh-CN"/>
          <w14:textFill>
            <w14:solidFill>
              <w14:schemeClr w14:val="tx1"/>
            </w14:solidFill>
          </w14:textFill>
        </w:rPr>
        <w:t>，</w:t>
      </w:r>
      <w:r>
        <w:rPr>
          <w:rFonts w:hint="eastAsia"/>
          <w:color w:val="000000" w:themeColor="text1"/>
          <w14:textFill>
            <w14:solidFill>
              <w14:schemeClr w14:val="tx1"/>
            </w14:solidFill>
          </w14:textFill>
        </w:rPr>
        <w:t>编制</w:t>
      </w:r>
      <w:r>
        <w:rPr>
          <w:color w:val="000000" w:themeColor="text1"/>
          <w14:textFill>
            <w14:solidFill>
              <w14:schemeClr w14:val="tx1"/>
            </w14:solidFill>
          </w14:textFill>
        </w:rPr>
        <w:t>程序如下：</w:t>
      </w:r>
    </w:p>
    <w:p>
      <w:pPr>
        <w:ind w:left="560" w:leftChars="200" w:firstLine="0" w:firstLineChars="0"/>
        <w:rPr>
          <w:color w:val="000000" w:themeColor="text1"/>
          <w14:textFill>
            <w14:solidFill>
              <w14:schemeClr w14:val="tx1"/>
            </w14:solidFill>
          </w14:textFill>
        </w:rPr>
        <w:sectPr>
          <w:footerReference r:id="rId20" w:type="default"/>
          <w:footerReference r:id="rId21" w:type="even"/>
          <w:pgSz w:w="11906" w:h="16838"/>
          <w:pgMar w:top="1440" w:right="1800" w:bottom="1440" w:left="1800" w:header="851" w:footer="992" w:gutter="0"/>
          <w:pgNumType w:fmt="upperRoman"/>
          <w:cols w:space="720" w:num="1"/>
          <w:docGrid w:type="lines" w:linePitch="312" w:charSpace="0"/>
        </w:sectPr>
      </w:pPr>
    </w:p>
    <w:p>
      <w:pPr>
        <w:ind w:left="560" w:leftChars="200" w:firstLine="0" w:firstLineChars="0"/>
        <w:rPr>
          <w:rFonts w:cs="Times New Roman"/>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4433570" cy="5137150"/>
            <wp:effectExtent l="0" t="0" r="5080" b="635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pic:cNvPicPr>
                      <a:picLocks noChangeAspect="1" noChangeArrowheads="1"/>
                    </pic:cNvPicPr>
                  </pic:nvPicPr>
                  <pic:blipFill>
                    <a:blip r:embed="rId46"/>
                    <a:srcRect/>
                    <a:stretch>
                      <a:fillRect/>
                    </a:stretch>
                  </pic:blipFill>
                  <pic:spPr>
                    <a:xfrm>
                      <a:off x="0" y="0"/>
                      <a:ext cx="4433570" cy="5137150"/>
                    </a:xfrm>
                    <a:prstGeom prst="rect">
                      <a:avLst/>
                    </a:prstGeom>
                    <a:noFill/>
                    <a:ln w="9525">
                      <a:noFill/>
                      <a:miter lim="800000"/>
                      <a:headEnd/>
                      <a:tailEnd/>
                    </a:ln>
                  </pic:spPr>
                </pic:pic>
              </a:graphicData>
            </a:graphic>
          </wp:inline>
        </w:drawing>
      </w:r>
    </w:p>
    <w:p>
      <w:pPr>
        <w:pStyle w:val="30"/>
        <w:ind w:left="0" w:leftChars="0" w:firstLine="0" w:firstLineChars="0"/>
        <w:jc w:val="center"/>
        <w:rPr>
          <w:rFonts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突发环境事件应急预案编制程序图</w:t>
      </w:r>
    </w:p>
    <w:p>
      <w:pPr>
        <w:ind w:firstLine="560"/>
        <w:rPr>
          <w:rFonts w:hint="eastAsia"/>
          <w:color w:val="000000" w:themeColor="text1"/>
          <w14:textFill>
            <w14:solidFill>
              <w14:schemeClr w14:val="tx1"/>
            </w14:solidFill>
          </w14:textFill>
        </w:rPr>
        <w:sectPr>
          <w:footerReference r:id="rId22" w:type="default"/>
          <w:footerReference r:id="rId23" w:type="even"/>
          <w:pgSz w:w="11906" w:h="16838"/>
          <w:pgMar w:top="1440" w:right="1800" w:bottom="1440" w:left="1800" w:header="851" w:footer="992" w:gutter="0"/>
          <w:pgNumType w:fmt="upperRoman"/>
          <w:cols w:space="720" w:num="1"/>
          <w:docGrid w:type="lines" w:linePitch="312" w:charSpace="0"/>
        </w:sectPr>
      </w:pPr>
    </w:p>
    <w:p>
      <w:pPr>
        <w:ind w:firstLine="560"/>
        <w:rPr>
          <w:b/>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重点内容说明</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本预案共分为：总则、项目基本情况、尾矿库环境风险评估、应急组织机构及职责、预警、应急处置、应急终止、后期处置、应急培训与演练、奖罚、保障措施、预案的评审、备案、发布和更新、预案的实施和生效时间</w:t>
      </w:r>
      <w:r>
        <w:rPr>
          <w:rFonts w:hint="eastAsia"/>
          <w:color w:val="000000" w:themeColor="text1"/>
          <w14:textFill>
            <w14:solidFill>
              <w14:schemeClr w14:val="tx1"/>
            </w14:solidFill>
          </w14:textFill>
        </w:rPr>
        <w:t>、尾矿库场外环境应急专篇、</w:t>
      </w:r>
      <w:r>
        <w:rPr>
          <w:color w:val="000000" w:themeColor="text1"/>
          <w14:textFill>
            <w14:solidFill>
              <w14:schemeClr w14:val="tx1"/>
            </w14:solidFill>
          </w14:textFill>
        </w:rPr>
        <w:t>术语和定义、附件及附图。预案重点对尾矿库环境风险进行等级评估，并根据环境风险等级评估报告，分析尾矿库的主要环境风险事故，细化尾矿库环境风险事故的预防和预警，提出了各种事故情况下的应急响应程序及处置措施，确保企业一旦发生突发环境事件，能够及时、科学、有效予以应对，最大限度的降低突发环境事件对环境造成的影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3、意见采纳情况</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编制单位</w:t>
      </w:r>
      <w:r>
        <w:rPr>
          <w:color w:val="000000" w:themeColor="text1"/>
          <w14:textFill>
            <w14:solidFill>
              <w14:schemeClr w14:val="tx1"/>
            </w14:solidFill>
          </w14:textFill>
        </w:rPr>
        <w:t>成立了应急预案编制领导小组，针对</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尾矿库风险特性及可能发生的</w:t>
      </w:r>
      <w:r>
        <w:rPr>
          <w:rFonts w:hint="eastAsia"/>
          <w:color w:val="000000" w:themeColor="text1"/>
          <w14:textFill>
            <w14:solidFill>
              <w14:schemeClr w14:val="tx1"/>
            </w14:solidFill>
          </w14:textFill>
        </w:rPr>
        <w:t>突发环境事件</w:t>
      </w:r>
      <w:r>
        <w:rPr>
          <w:color w:val="000000" w:themeColor="text1"/>
          <w14:textFill>
            <w14:solidFill>
              <w14:schemeClr w14:val="tx1"/>
            </w14:solidFill>
          </w14:textFill>
        </w:rPr>
        <w:t>，特别是现场应急处置措施等内容，广泛征求了公司相关部门、尾矿库现场操作人员、周围居民的意见与建议，并组织相关领导和技术人员进行内部审查，编制小组采纳</w:t>
      </w:r>
      <w:r>
        <w:rPr>
          <w:rFonts w:hint="eastAsia"/>
          <w:color w:val="000000" w:themeColor="text1"/>
          <w14:textFill>
            <w14:solidFill>
              <w14:schemeClr w14:val="tx1"/>
            </w14:solidFill>
          </w14:textFill>
        </w:rPr>
        <w:t>了</w:t>
      </w:r>
      <w:r>
        <w:rPr>
          <w:color w:val="000000" w:themeColor="text1"/>
          <w14:textFill>
            <w14:solidFill>
              <w14:schemeClr w14:val="tx1"/>
            </w14:solidFill>
          </w14:textFill>
        </w:rPr>
        <w:t>相关意见和建议，修改补充完善预案内容。</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4、评审情况</w:t>
      </w:r>
    </w:p>
    <w:p>
      <w:pPr>
        <w:spacing w:line="240" w:lineRule="auto"/>
        <w:ind w:firstLine="560"/>
        <w:jc w:val="left"/>
        <w:rPr>
          <w:rFonts w:hint="eastAsia"/>
          <w:color w:val="000000" w:themeColor="text1"/>
          <w14:textFill>
            <w14:solidFill>
              <w14:schemeClr w14:val="tx1"/>
            </w14:solidFill>
          </w14:textFill>
        </w:rPr>
        <w:sectPr>
          <w:footerReference r:id="rId24" w:type="default"/>
          <w:footerReference r:id="rId25" w:type="even"/>
          <w:pgSz w:w="11906" w:h="16838"/>
          <w:pgMar w:top="1440" w:right="1800" w:bottom="1440" w:left="1800" w:header="851" w:footer="992" w:gutter="0"/>
          <w:pgNumType w:fmt="upperRoman"/>
          <w:cols w:space="720" w:num="1"/>
          <w:docGrid w:type="lines" w:linePitch="312" w:charSpace="0"/>
        </w:sectPr>
      </w:pPr>
      <w:r>
        <w:rPr>
          <w:rFonts w:hint="eastAsia"/>
          <w:color w:val="000000" w:themeColor="text1"/>
          <w14:textFill>
            <w14:solidFill>
              <w14:schemeClr w14:val="tx1"/>
            </w14:solidFill>
          </w14:textFill>
        </w:rPr>
        <w:t xml:space="preserve">   年  月  日，专家对《云南安宁泰源工贸集团有限公司景洪分公司尾矿库突发环境事件应急预案》（以下简称“应急预案”）进行技术审核。专家评估组经过询问和讨论，认为“应急</w:t>
      </w:r>
      <w:r>
        <w:rPr>
          <w:color w:val="000000" w:themeColor="text1"/>
          <w14:textFill>
            <w14:solidFill>
              <w14:schemeClr w14:val="tx1"/>
            </w14:solidFill>
          </w14:textFill>
        </w:rPr>
        <w:t>预案</w:t>
      </w:r>
      <w:r>
        <w:rPr>
          <w:rFonts w:hint="eastAsia"/>
          <w:color w:val="000000" w:themeColor="text1"/>
          <w14:textFill>
            <w14:solidFill>
              <w14:schemeClr w14:val="tx1"/>
            </w14:solidFill>
          </w14:textFill>
        </w:rPr>
        <w:t>”编制较为规范，实用性和操作性较强，就该预案形式及要素组成情况进行了</w:t>
      </w:r>
    </w:p>
    <w:p>
      <w:pPr>
        <w:spacing w:line="240" w:lineRule="auto"/>
        <w:ind w:firstLine="560"/>
        <w:jc w:val="left"/>
        <w:rPr>
          <w:color w:val="000000" w:themeColor="text1"/>
          <w14:textFill>
            <w14:solidFill>
              <w14:schemeClr w14:val="tx1"/>
            </w14:solidFill>
          </w14:textFill>
        </w:rPr>
        <w:sectPr>
          <w:footerReference r:id="rId26" w:type="default"/>
          <w:footerReference r:id="rId27" w:type="even"/>
          <w:pgSz w:w="11906" w:h="16838"/>
          <w:pgMar w:top="1440" w:right="1800" w:bottom="1440" w:left="1800" w:header="851" w:footer="992" w:gutter="0"/>
          <w:pgNumType w:fmt="upperRoman"/>
          <w:cols w:space="720" w:num="1"/>
          <w:docGrid w:type="lines" w:linePitch="312" w:charSpace="0"/>
        </w:sectPr>
      </w:pPr>
      <w:r>
        <w:rPr>
          <w:rFonts w:hint="eastAsia"/>
          <w:color w:val="000000" w:themeColor="text1"/>
          <w14:textFill>
            <w14:solidFill>
              <w14:schemeClr w14:val="tx1"/>
            </w14:solidFill>
          </w14:textFill>
        </w:rPr>
        <w:t>评审，同意“应急预案”通过评审，并提出评审意见及修改建议，编制单位积极配合，对评审会上提出的意见及建议进行了修改和完善，形成最终报告。</w:t>
      </w:r>
    </w:p>
    <w:p>
      <w:pPr>
        <w:spacing w:line="240" w:lineRule="auto"/>
        <w:ind w:firstLine="560"/>
        <w:jc w:val="left"/>
        <w:rPr>
          <w:color w:val="000000" w:themeColor="text1"/>
          <w14:textFill>
            <w14:solidFill>
              <w14:schemeClr w14:val="tx1"/>
            </w14:solidFill>
          </w14:textFill>
        </w:rPr>
        <w:sectPr>
          <w:footerReference r:id="rId28" w:type="default"/>
          <w:footerReference r:id="rId29" w:type="even"/>
          <w:pgSz w:w="11906" w:h="16838"/>
          <w:pgMar w:top="1440" w:right="1800" w:bottom="1440" w:left="1800" w:header="851" w:footer="992" w:gutter="0"/>
          <w:pgNumType w:fmt="upperRoman"/>
          <w:cols w:space="720" w:num="1"/>
          <w:docGrid w:type="lines" w:linePitch="312" w:charSpace="0"/>
        </w:sectPr>
      </w:pPr>
    </w:p>
    <w:p>
      <w:pPr>
        <w:ind w:firstLine="0" w:firstLineChars="0"/>
        <w:jc w:val="center"/>
        <w:rPr>
          <w:rFonts w:eastAsia="楷体_GB2312" w:cs="Times New Roman"/>
          <w:b/>
          <w:color w:val="000000" w:themeColor="text1"/>
          <w:sz w:val="44"/>
          <w:szCs w:val="44"/>
          <w14:textFill>
            <w14:solidFill>
              <w14:schemeClr w14:val="tx1"/>
            </w14:solidFill>
          </w14:textFill>
        </w:rPr>
      </w:pPr>
      <w:bookmarkStart w:id="11" w:name="_Toc12905003"/>
      <w:r>
        <w:rPr>
          <w:rFonts w:eastAsia="楷体_GB2312" w:cs="Times New Roman"/>
          <w:b/>
          <w:color w:val="000000" w:themeColor="text1"/>
          <w:sz w:val="44"/>
          <w:szCs w:val="44"/>
          <w14:textFill>
            <w14:solidFill>
              <w14:schemeClr w14:val="tx1"/>
            </w14:solidFill>
          </w14:textFill>
        </w:rPr>
        <w:t>目录</w:t>
      </w:r>
      <w:bookmarkEnd w:id="11"/>
    </w:p>
    <w:p>
      <w:pPr>
        <w:pStyle w:val="27"/>
        <w:tabs>
          <w:tab w:val="right" w:leader="dot" w:pos="8296"/>
        </w:tabs>
        <w:ind w:left="0" w:leftChars="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TOC \o "1-3" \h \z \u </w:instrText>
      </w:r>
      <w:r>
        <w:rPr>
          <w:rFonts w:cs="Times New Roman"/>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"_Toc43143157" </w:instrText>
      </w:r>
      <w:r>
        <w:rPr>
          <w:color w:val="000000" w:themeColor="text1"/>
          <w14:textFill>
            <w14:solidFill>
              <w14:schemeClr w14:val="tx1"/>
            </w14:solidFill>
          </w14:textFill>
        </w:rPr>
        <w:fldChar w:fldCharType="separate"/>
      </w:r>
      <w:r>
        <w:rPr>
          <w:rStyle w:val="34"/>
          <w:rFonts w:hint="eastAsia"/>
          <w:color w:val="000000" w:themeColor="text1"/>
          <w14:textFill>
            <w14:solidFill>
              <w14:schemeClr w14:val="tx1"/>
            </w14:solidFill>
          </w14:textFill>
        </w:rPr>
        <w:t>云南安宁泰源工贸集团有限公司景洪分公司尾矿库</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III</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0" w:leftChars="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"_Toc43143158" </w:instrText>
      </w:r>
      <w:r>
        <w:rPr>
          <w:color w:val="000000" w:themeColor="text1"/>
          <w14:textFill>
            <w14:solidFill>
              <w14:schemeClr w14:val="tx1"/>
            </w14:solidFill>
          </w14:textFill>
        </w:rPr>
        <w:fldChar w:fldCharType="separate"/>
      </w:r>
      <w:r>
        <w:rPr>
          <w:rStyle w:val="34"/>
          <w:rFonts w:hint="eastAsia"/>
          <w:color w:val="000000" w:themeColor="text1"/>
          <w14:textFill>
            <w14:solidFill>
              <w14:schemeClr w14:val="tx1"/>
            </w14:solidFill>
          </w14:textFill>
        </w:rPr>
        <w:t>突发环境事件应急预案发布批准书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III</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0" w:leftChars="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"_Toc43143159" </w:instrText>
      </w:r>
      <w:r>
        <w:rPr>
          <w:color w:val="000000" w:themeColor="text1"/>
          <w14:textFill>
            <w14:solidFill>
              <w14:schemeClr w14:val="tx1"/>
            </w14:solidFill>
          </w14:textFill>
        </w:rPr>
        <w:fldChar w:fldCharType="separate"/>
      </w:r>
      <w:r>
        <w:rPr>
          <w:rStyle w:val="34"/>
          <w:rFonts w:hint="eastAsia"/>
          <w:color w:val="000000" w:themeColor="text1"/>
          <w:kern w:val="44"/>
          <w14:textFill>
            <w14:solidFill>
              <w14:schemeClr w14:val="tx1"/>
            </w14:solidFill>
          </w14:textFill>
        </w:rPr>
        <w:t>编制说明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IV</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w:t>
      </w:r>
      <w:r>
        <w:rPr>
          <w:rStyle w:val="34"/>
          <w:rFonts w:hint="eastAsia"/>
          <w:color w:val="000000" w:themeColor="text1"/>
          <w14:textFill>
            <w14:solidFill>
              <w14:schemeClr w14:val="tx1"/>
            </w14:solidFill>
          </w14:textFill>
        </w:rPr>
        <w:t>总则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Style w:val="34"/>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w:t>
      </w:r>
      <w:r>
        <w:rPr>
          <w:rStyle w:val="34"/>
          <w:rFonts w:hint="eastAsia"/>
          <w:color w:val="000000" w:themeColor="text1"/>
          <w14:textFill>
            <w14:solidFill>
              <w14:schemeClr w14:val="tx1"/>
            </w14:solidFill>
          </w14:textFill>
        </w:rPr>
        <w:t>编制目的</w:t>
      </w:r>
      <w:r>
        <w:rPr>
          <w:rStyle w:val="34"/>
          <w:color w:val="000000" w:themeColor="text1"/>
          <w14:textFill>
            <w14:solidFill>
              <w14:schemeClr w14:val="tx1"/>
            </w14:solidFill>
          </w14:textFill>
        </w:rPr>
        <w:tab/>
      </w:r>
      <w:r>
        <w:rPr>
          <w:rStyle w:val="34"/>
          <w:color w:val="000000" w:themeColor="text1"/>
          <w14:textFill>
            <w14:solidFill>
              <w14:schemeClr w14:val="tx1"/>
            </w14:solidFill>
          </w14:textFill>
        </w:rPr>
        <w:fldChar w:fldCharType="begin"/>
      </w:r>
      <w:r>
        <w:rPr>
          <w:rStyle w:val="34"/>
          <w:color w:val="000000" w:themeColor="text1"/>
          <w14:textFill>
            <w14:solidFill>
              <w14:schemeClr w14:val="tx1"/>
            </w14:solidFill>
          </w14:textFill>
        </w:rPr>
        <w:instrText xml:space="preserve"> PAGEREF _Toc43143161 \h </w:instrText>
      </w:r>
      <w:r>
        <w:rPr>
          <w:rStyle w:val="34"/>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w:t>
      </w:r>
      <w:r>
        <w:rPr>
          <w:rStyle w:val="34"/>
          <w:color w:val="000000" w:themeColor="text1"/>
          <w14:textFill>
            <w14:solidFill>
              <w14:schemeClr w14:val="tx1"/>
            </w14:solidFill>
          </w14:textFill>
        </w:rPr>
        <w:fldChar w:fldCharType="end"/>
      </w:r>
      <w:r>
        <w:rPr>
          <w:rStyle w:val="34"/>
          <w:color w:val="000000" w:themeColor="text1"/>
          <w14:textFill>
            <w14:solidFill>
              <w14:schemeClr w14:val="tx1"/>
            </w14:solidFill>
          </w14:textFill>
        </w:rPr>
        <w:fldChar w:fldCharType="end"/>
      </w:r>
    </w:p>
    <w:p>
      <w:pPr>
        <w:pStyle w:val="27"/>
        <w:tabs>
          <w:tab w:val="right" w:leader="dot" w:pos="8296"/>
        </w:tabs>
        <w:ind w:left="560" w:firstLine="0" w:firstLineChars="0"/>
        <w:rPr>
          <w:rStyle w:val="34"/>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w:t>
      </w:r>
      <w:r>
        <w:rPr>
          <w:rStyle w:val="34"/>
          <w:rFonts w:hint="eastAsia"/>
          <w:color w:val="000000" w:themeColor="text1"/>
          <w14:textFill>
            <w14:solidFill>
              <w14:schemeClr w14:val="tx1"/>
            </w14:solidFill>
          </w14:textFill>
        </w:rPr>
        <w:t>编制依据</w:t>
      </w:r>
      <w:r>
        <w:rPr>
          <w:rStyle w:val="34"/>
          <w:color w:val="000000" w:themeColor="text1"/>
          <w14:textFill>
            <w14:solidFill>
              <w14:schemeClr w14:val="tx1"/>
            </w14:solidFill>
          </w14:textFill>
        </w:rPr>
        <w:tab/>
      </w:r>
      <w:r>
        <w:rPr>
          <w:rStyle w:val="34"/>
          <w:color w:val="000000" w:themeColor="text1"/>
          <w14:textFill>
            <w14:solidFill>
              <w14:schemeClr w14:val="tx1"/>
            </w14:solidFill>
          </w14:textFill>
        </w:rPr>
        <w:fldChar w:fldCharType="begin"/>
      </w:r>
      <w:r>
        <w:rPr>
          <w:rStyle w:val="34"/>
          <w:color w:val="000000" w:themeColor="text1"/>
          <w14:textFill>
            <w14:solidFill>
              <w14:schemeClr w14:val="tx1"/>
            </w14:solidFill>
          </w14:textFill>
        </w:rPr>
        <w:instrText xml:space="preserve"> PAGEREF _Toc43143162 \h </w:instrText>
      </w:r>
      <w:r>
        <w:rPr>
          <w:rStyle w:val="34"/>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w:t>
      </w:r>
      <w:r>
        <w:rPr>
          <w:rStyle w:val="34"/>
          <w:color w:val="000000" w:themeColor="text1"/>
          <w14:textFill>
            <w14:solidFill>
              <w14:schemeClr w14:val="tx1"/>
            </w14:solidFill>
          </w14:textFill>
        </w:rPr>
        <w:fldChar w:fldCharType="end"/>
      </w:r>
      <w:r>
        <w:rPr>
          <w:rStyle w:val="34"/>
          <w:color w:val="000000" w:themeColor="text1"/>
          <w14:textFill>
            <w14:solidFill>
              <w14:schemeClr w14:val="tx1"/>
            </w14:solidFill>
          </w14:textFill>
        </w:rPr>
        <w:fldChar w:fldCharType="end"/>
      </w:r>
    </w:p>
    <w:p>
      <w:pPr>
        <w:pStyle w:val="22"/>
        <w:tabs>
          <w:tab w:val="right" w:leader="dot" w:pos="8296"/>
        </w:tabs>
        <w:ind w:left="1120" w:firstLine="0" w:firstLineChars="0"/>
        <w:rPr>
          <w:rStyle w:val="34"/>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1.2.1</w:t>
      </w:r>
      <w:r>
        <w:rPr>
          <w:rStyle w:val="34"/>
          <w:rFonts w:hint="eastAsia"/>
          <w:color w:val="000000" w:themeColor="text1"/>
          <w14:textFill>
            <w14:solidFill>
              <w14:schemeClr w14:val="tx1"/>
            </w14:solidFill>
          </w14:textFill>
        </w:rPr>
        <w:t>环保法律、法规及部门规章</w:t>
      </w:r>
      <w:r>
        <w:rPr>
          <w:rStyle w:val="34"/>
          <w:color w:val="000000" w:themeColor="text1"/>
          <w14:textFill>
            <w14:solidFill>
              <w14:schemeClr w14:val="tx1"/>
            </w14:solidFill>
          </w14:textFill>
        </w:rPr>
        <w:tab/>
      </w:r>
      <w:r>
        <w:rPr>
          <w:rStyle w:val="34"/>
          <w:color w:val="000000" w:themeColor="text1"/>
          <w14:textFill>
            <w14:solidFill>
              <w14:schemeClr w14:val="tx1"/>
            </w14:solidFill>
          </w14:textFill>
        </w:rPr>
        <w:fldChar w:fldCharType="begin"/>
      </w:r>
      <w:r>
        <w:rPr>
          <w:rStyle w:val="34"/>
          <w:color w:val="000000" w:themeColor="text1"/>
          <w14:textFill>
            <w14:solidFill>
              <w14:schemeClr w14:val="tx1"/>
            </w14:solidFill>
          </w14:textFill>
        </w:rPr>
        <w:instrText xml:space="preserve"> PAGEREF _Toc43143163 \h </w:instrText>
      </w:r>
      <w:r>
        <w:rPr>
          <w:rStyle w:val="34"/>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w:t>
      </w:r>
      <w:r>
        <w:rPr>
          <w:rStyle w:val="34"/>
          <w:color w:val="000000" w:themeColor="text1"/>
          <w14:textFill>
            <w14:solidFill>
              <w14:schemeClr w14:val="tx1"/>
            </w14:solidFill>
          </w14:textFill>
        </w:rPr>
        <w:fldChar w:fldCharType="end"/>
      </w:r>
      <w:r>
        <w:rPr>
          <w:rStyle w:val="34"/>
          <w:color w:val="000000" w:themeColor="text1"/>
          <w14:textFill>
            <w14:solidFill>
              <w14:schemeClr w14:val="tx1"/>
            </w14:solidFill>
          </w14:textFill>
        </w:rPr>
        <w:fldChar w:fldCharType="end"/>
      </w:r>
    </w:p>
    <w:p>
      <w:pPr>
        <w:pStyle w:val="22"/>
        <w:tabs>
          <w:tab w:val="right" w:leader="dot" w:pos="8296"/>
        </w:tabs>
        <w:ind w:left="1120" w:firstLine="0" w:firstLineChars="0"/>
        <w:rPr>
          <w:rStyle w:val="34"/>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1.2.2</w:t>
      </w:r>
      <w:r>
        <w:rPr>
          <w:rStyle w:val="34"/>
          <w:rFonts w:hint="eastAsia"/>
          <w:color w:val="000000" w:themeColor="text1"/>
          <w14:textFill>
            <w14:solidFill>
              <w14:schemeClr w14:val="tx1"/>
            </w14:solidFill>
          </w14:textFill>
        </w:rPr>
        <w:t>标准及技术规范</w:t>
      </w:r>
      <w:r>
        <w:rPr>
          <w:rStyle w:val="34"/>
          <w:color w:val="000000" w:themeColor="text1"/>
          <w14:textFill>
            <w14:solidFill>
              <w14:schemeClr w14:val="tx1"/>
            </w14:solidFill>
          </w14:textFill>
        </w:rPr>
        <w:tab/>
      </w:r>
      <w:r>
        <w:rPr>
          <w:rStyle w:val="34"/>
          <w:color w:val="000000" w:themeColor="text1"/>
          <w14:textFill>
            <w14:solidFill>
              <w14:schemeClr w14:val="tx1"/>
            </w14:solidFill>
          </w14:textFill>
        </w:rPr>
        <w:fldChar w:fldCharType="begin"/>
      </w:r>
      <w:r>
        <w:rPr>
          <w:rStyle w:val="34"/>
          <w:color w:val="000000" w:themeColor="text1"/>
          <w14:textFill>
            <w14:solidFill>
              <w14:schemeClr w14:val="tx1"/>
            </w14:solidFill>
          </w14:textFill>
        </w:rPr>
        <w:instrText xml:space="preserve"> PAGEREF _Toc43143164 \h </w:instrText>
      </w:r>
      <w:r>
        <w:rPr>
          <w:rStyle w:val="34"/>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w:t>
      </w:r>
      <w:r>
        <w:rPr>
          <w:rStyle w:val="34"/>
          <w:color w:val="000000" w:themeColor="text1"/>
          <w14:textFill>
            <w14:solidFill>
              <w14:schemeClr w14:val="tx1"/>
            </w14:solidFill>
          </w14:textFill>
        </w:rPr>
        <w:fldChar w:fldCharType="end"/>
      </w:r>
      <w:r>
        <w:rPr>
          <w:rStyle w:val="34"/>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1.2.3</w:t>
      </w:r>
      <w:r>
        <w:rPr>
          <w:rStyle w:val="34"/>
          <w:rFonts w:hint="eastAsia"/>
          <w:color w:val="000000" w:themeColor="text1"/>
          <w14:textFill>
            <w14:solidFill>
              <w14:schemeClr w14:val="tx1"/>
            </w14:solidFill>
          </w14:textFill>
        </w:rPr>
        <w:t>公司内部资料和相关文件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_Toc43143165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1.3</w:t>
      </w:r>
      <w:r>
        <w:rPr>
          <w:rStyle w:val="34"/>
          <w:rFonts w:hint="eastAsia"/>
          <w:color w:val="000000" w:themeColor="text1"/>
          <w14:textFill>
            <w14:solidFill>
              <w14:schemeClr w14:val="tx1"/>
            </w14:solidFill>
          </w14:textFill>
        </w:rPr>
        <w:t>适用范围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1.4</w:t>
      </w:r>
      <w:r>
        <w:rPr>
          <w:rStyle w:val="34"/>
          <w:rFonts w:hint="eastAsia"/>
          <w:color w:val="000000" w:themeColor="text1"/>
          <w14:textFill>
            <w14:solidFill>
              <w14:schemeClr w14:val="tx1"/>
            </w14:solidFill>
          </w14:textFill>
        </w:rPr>
        <w:t>事件分级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_Toc43143167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1.5</w:t>
      </w:r>
      <w:r>
        <w:rPr>
          <w:rStyle w:val="34"/>
          <w:rFonts w:hint="eastAsia"/>
          <w:color w:val="000000" w:themeColor="text1"/>
          <w14:textFill>
            <w14:solidFill>
              <w14:schemeClr w14:val="tx1"/>
            </w14:solidFill>
          </w14:textFill>
        </w:rPr>
        <w:t>工作原则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_Toc43143168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"_Toc43143169"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1.6</w:t>
      </w:r>
      <w:r>
        <w:rPr>
          <w:rStyle w:val="34"/>
          <w:rFonts w:hint="eastAsia"/>
          <w:color w:val="000000" w:themeColor="text1"/>
          <w14:textFill>
            <w14:solidFill>
              <w14:schemeClr w14:val="tx1"/>
            </w14:solidFill>
          </w14:textFill>
        </w:rPr>
        <w:t>预案体系说明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"_Toc43143170"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2</w:t>
      </w:r>
      <w:r>
        <w:rPr>
          <w:rStyle w:val="34"/>
          <w:rFonts w:hint="eastAsia" w:eastAsia="楷体_GB2312" w:cs="Times New Roman"/>
          <w:bCs/>
          <w:color w:val="000000" w:themeColor="text1"/>
          <w14:textFill>
            <w14:solidFill>
              <w14:schemeClr w14:val="tx1"/>
            </w14:solidFill>
          </w14:textFill>
        </w:rPr>
        <w:t>项目基本情况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2.1</w:t>
      </w:r>
      <w:r>
        <w:rPr>
          <w:rStyle w:val="34"/>
          <w:rFonts w:hint="eastAsia"/>
          <w:color w:val="000000" w:themeColor="text1"/>
          <w14:textFill>
            <w14:solidFill>
              <w14:schemeClr w14:val="tx1"/>
            </w14:solidFill>
          </w14:textFill>
        </w:rPr>
        <w:t>公司基本情况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2.2</w:t>
      </w:r>
      <w:r>
        <w:rPr>
          <w:rStyle w:val="34"/>
          <w:rFonts w:hint="eastAsia"/>
          <w:color w:val="000000" w:themeColor="text1"/>
          <w14:textFill>
            <w14:solidFill>
              <w14:schemeClr w14:val="tx1"/>
            </w14:solidFill>
          </w14:textFill>
        </w:rPr>
        <w:t>尾矿库基本情况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2.3</w:t>
      </w:r>
      <w:r>
        <w:rPr>
          <w:rStyle w:val="34"/>
          <w:rFonts w:hint="eastAsia"/>
          <w:color w:val="000000" w:themeColor="text1"/>
          <w14:textFill>
            <w14:solidFill>
              <w14:schemeClr w14:val="tx1"/>
            </w14:solidFill>
          </w14:textFill>
        </w:rPr>
        <w:t>周边自然概况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2.4</w:t>
      </w:r>
      <w:r>
        <w:rPr>
          <w:rStyle w:val="34"/>
          <w:rFonts w:hint="eastAsia"/>
          <w:color w:val="000000" w:themeColor="text1"/>
          <w14:textFill>
            <w14:solidFill>
              <w14:schemeClr w14:val="tx1"/>
            </w14:solidFill>
          </w14:textFill>
        </w:rPr>
        <w:t>尾矿库环境风险受体</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2.5</w:t>
      </w:r>
      <w:r>
        <w:rPr>
          <w:rStyle w:val="34"/>
          <w:rFonts w:hint="eastAsia"/>
          <w:color w:val="000000" w:themeColor="text1"/>
          <w14:textFill>
            <w14:solidFill>
              <w14:schemeClr w14:val="tx1"/>
            </w14:solidFill>
          </w14:textFill>
        </w:rPr>
        <w:t>尾矿库特征污染物排放情况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w:t>
      </w:r>
      <w:r>
        <w:rPr>
          <w:rStyle w:val="34"/>
          <w:rFonts w:hint="eastAsia"/>
          <w:color w:val="000000" w:themeColor="text1"/>
          <w14:textFill>
            <w14:solidFill>
              <w14:schemeClr w14:val="tx1"/>
            </w14:solidFill>
          </w14:textFill>
        </w:rPr>
        <w:t>尾矿库环境风险评估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3.1</w:t>
      </w:r>
      <w:r>
        <w:rPr>
          <w:rStyle w:val="34"/>
          <w:rFonts w:hint="eastAsia"/>
          <w:color w:val="000000" w:themeColor="text1"/>
          <w14:textFill>
            <w14:solidFill>
              <w14:schemeClr w14:val="tx1"/>
            </w14:solidFill>
          </w14:textFill>
        </w:rPr>
        <w:t>环境风险预判情况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3.2</w:t>
      </w:r>
      <w:r>
        <w:rPr>
          <w:rStyle w:val="34"/>
          <w:rFonts w:hint="eastAsia"/>
          <w:color w:val="000000" w:themeColor="text1"/>
          <w14:textFill>
            <w14:solidFill>
              <w14:schemeClr w14:val="tx1"/>
            </w14:solidFill>
          </w14:textFill>
        </w:rPr>
        <w:t>环境风险等级划分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"_Toc43143179"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3.3</w:t>
      </w:r>
      <w:r>
        <w:rPr>
          <w:rStyle w:val="34"/>
          <w:rFonts w:hint="eastAsia"/>
          <w:color w:val="000000" w:themeColor="text1"/>
          <w14:textFill>
            <w14:solidFill>
              <w14:schemeClr w14:val="tx1"/>
            </w14:solidFill>
          </w14:textFill>
        </w:rPr>
        <w:t>尾矿库环境风险源及有害因素识别</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_Toc43143179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3.4</w:t>
      </w:r>
      <w:r>
        <w:rPr>
          <w:rStyle w:val="34"/>
          <w:rFonts w:hint="eastAsia"/>
          <w:color w:val="000000" w:themeColor="text1"/>
          <w14:textFill>
            <w14:solidFill>
              <w14:schemeClr w14:val="tx1"/>
            </w14:solidFill>
          </w14:textFill>
        </w:rPr>
        <w:t>主要事故类型及危害因素</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3.5</w:t>
      </w:r>
      <w:r>
        <w:rPr>
          <w:rStyle w:val="34"/>
          <w:rFonts w:hint="eastAsia"/>
          <w:color w:val="000000" w:themeColor="text1"/>
          <w14:textFill>
            <w14:solidFill>
              <w14:schemeClr w14:val="tx1"/>
            </w14:solidFill>
          </w14:textFill>
        </w:rPr>
        <w:t>尾矿库突发环境事件情景分析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w:t>
      </w:r>
      <w:r>
        <w:rPr>
          <w:rStyle w:val="34"/>
          <w:rFonts w:hint="eastAsia"/>
          <w:color w:val="000000" w:themeColor="text1"/>
          <w14:textFill>
            <w14:solidFill>
              <w14:schemeClr w14:val="tx1"/>
            </w14:solidFill>
          </w14:textFill>
        </w:rPr>
        <w:t>应急组织机构及职责</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4.1</w:t>
      </w:r>
      <w:r>
        <w:rPr>
          <w:rStyle w:val="34"/>
          <w:rFonts w:hint="eastAsia"/>
          <w:color w:val="000000" w:themeColor="text1"/>
          <w14:textFill>
            <w14:solidFill>
              <w14:schemeClr w14:val="tx1"/>
            </w14:solidFill>
          </w14:textFill>
        </w:rPr>
        <w:t>应急组织机构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w:t>
      </w:r>
      <w:r>
        <w:rPr>
          <w:rStyle w:val="34"/>
          <w:rFonts w:hint="eastAsia"/>
          <w:color w:val="000000" w:themeColor="text1"/>
          <w14:textFill>
            <w14:solidFill>
              <w14:schemeClr w14:val="tx1"/>
            </w14:solidFill>
          </w14:textFill>
        </w:rPr>
        <w:t>应急组织人员及其职责</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4.2.1</w:t>
      </w:r>
      <w:r>
        <w:rPr>
          <w:rStyle w:val="34"/>
          <w:rFonts w:hint="eastAsia"/>
          <w:color w:val="000000" w:themeColor="text1"/>
          <w14:textFill>
            <w14:solidFill>
              <w14:schemeClr w14:val="tx1"/>
            </w14:solidFill>
          </w14:textFill>
        </w:rPr>
        <w:t>应急救援指挥中心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4.2.2</w:t>
      </w:r>
      <w:r>
        <w:rPr>
          <w:rStyle w:val="34"/>
          <w:rFonts w:hint="eastAsia"/>
          <w:color w:val="000000" w:themeColor="text1"/>
          <w14:textFill>
            <w14:solidFill>
              <w14:schemeClr w14:val="tx1"/>
            </w14:solidFill>
          </w14:textFill>
        </w:rPr>
        <w:t>指挥协调组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4.2.3</w:t>
      </w:r>
      <w:r>
        <w:rPr>
          <w:rStyle w:val="34"/>
          <w:rFonts w:hint="eastAsia"/>
          <w:color w:val="000000" w:themeColor="text1"/>
          <w14:textFill>
            <w14:solidFill>
              <w14:schemeClr w14:val="tx1"/>
            </w14:solidFill>
          </w14:textFill>
        </w:rPr>
        <w:t>信息通讯组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4.2.4</w:t>
      </w:r>
      <w:r>
        <w:rPr>
          <w:rStyle w:val="34"/>
          <w:rFonts w:hint="eastAsia"/>
          <w:color w:val="000000" w:themeColor="text1"/>
          <w14:textFill>
            <w14:solidFill>
              <w14:schemeClr w14:val="tx1"/>
            </w14:solidFill>
          </w14:textFill>
        </w:rPr>
        <w:t>后勤救护组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"_Toc43143189"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4.2.5</w:t>
      </w:r>
      <w:r>
        <w:rPr>
          <w:rStyle w:val="34"/>
          <w:rFonts w:hint="eastAsia"/>
          <w:color w:val="000000" w:themeColor="text1"/>
          <w14:textFill>
            <w14:solidFill>
              <w14:schemeClr w14:val="tx1"/>
            </w14:solidFill>
          </w14:textFill>
        </w:rPr>
        <w:t>抢修维修组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_Toc43143189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4.2.6</w:t>
      </w:r>
      <w:r>
        <w:rPr>
          <w:rStyle w:val="34"/>
          <w:rFonts w:hint="eastAsia"/>
          <w:color w:val="000000" w:themeColor="text1"/>
          <w14:textFill>
            <w14:solidFill>
              <w14:schemeClr w14:val="tx1"/>
            </w14:solidFill>
          </w14:textFill>
        </w:rPr>
        <w:t>环境保护组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4.2.7</w:t>
      </w:r>
      <w:r>
        <w:rPr>
          <w:rStyle w:val="34"/>
          <w:rFonts w:hint="eastAsia"/>
          <w:color w:val="000000" w:themeColor="text1"/>
          <w14:textFill>
            <w14:solidFill>
              <w14:schemeClr w14:val="tx1"/>
            </w14:solidFill>
          </w14:textFill>
        </w:rPr>
        <w:t>警戒疏散组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4.3</w:t>
      </w:r>
      <w:r>
        <w:rPr>
          <w:rStyle w:val="34"/>
          <w:rFonts w:hint="eastAsia"/>
          <w:color w:val="000000" w:themeColor="text1"/>
          <w14:textFill>
            <w14:solidFill>
              <w14:schemeClr w14:val="tx1"/>
            </w14:solidFill>
          </w14:textFill>
        </w:rPr>
        <w:t>政府主导应急处置后的指挥与协调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"_Toc43143193" </w:instrText>
      </w:r>
      <w:r>
        <w:rPr>
          <w:color w:val="000000" w:themeColor="text1"/>
          <w14:textFill>
            <w14:solidFill>
              <w14:schemeClr w14:val="tx1"/>
            </w14:solidFill>
          </w14:textFill>
        </w:rPr>
        <w:fldChar w:fldCharType="separate"/>
      </w:r>
      <w:r>
        <w:rPr>
          <w:rStyle w:val="34"/>
          <w:rFonts w:eastAsia="楷体_GB2312" w:cs="Times New Roman"/>
          <w:color w:val="000000" w:themeColor="text1"/>
          <w14:textFill>
            <w14:solidFill>
              <w14:schemeClr w14:val="tx1"/>
            </w14:solidFill>
          </w14:textFill>
        </w:rPr>
        <w:t>5</w:t>
      </w:r>
      <w:r>
        <w:rPr>
          <w:rStyle w:val="34"/>
          <w:rFonts w:hint="eastAsia" w:eastAsia="楷体_GB2312" w:cs="Times New Roman"/>
          <w:color w:val="000000" w:themeColor="text1"/>
          <w14:textFill>
            <w14:solidFill>
              <w14:schemeClr w14:val="tx1"/>
            </w14:solidFill>
          </w14:textFill>
        </w:rPr>
        <w:t>预警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5.1</w:t>
      </w:r>
      <w:r>
        <w:rPr>
          <w:rStyle w:val="34"/>
          <w:rFonts w:hint="eastAsia"/>
          <w:color w:val="000000" w:themeColor="text1"/>
          <w14:textFill>
            <w14:solidFill>
              <w14:schemeClr w14:val="tx1"/>
            </w14:solidFill>
          </w14:textFill>
        </w:rPr>
        <w:t>预警监测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5.2</w:t>
      </w:r>
      <w:r>
        <w:rPr>
          <w:rStyle w:val="34"/>
          <w:rFonts w:hint="eastAsia"/>
          <w:color w:val="000000" w:themeColor="text1"/>
          <w14:textFill>
            <w14:solidFill>
              <w14:schemeClr w14:val="tx1"/>
            </w14:solidFill>
          </w14:textFill>
        </w:rPr>
        <w:t>预警条件及级别</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5.2.1</w:t>
      </w:r>
      <w:r>
        <w:rPr>
          <w:rStyle w:val="34"/>
          <w:rFonts w:hint="eastAsia"/>
          <w:color w:val="000000" w:themeColor="text1"/>
          <w14:textFill>
            <w14:solidFill>
              <w14:schemeClr w14:val="tx1"/>
            </w14:solidFill>
          </w14:textFill>
        </w:rPr>
        <w:t>预警条件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5.2.2</w:t>
      </w:r>
      <w:r>
        <w:rPr>
          <w:rStyle w:val="34"/>
          <w:rFonts w:hint="eastAsia"/>
          <w:color w:val="000000" w:themeColor="text1"/>
          <w14:textFill>
            <w14:solidFill>
              <w14:schemeClr w14:val="tx1"/>
            </w14:solidFill>
          </w14:textFill>
        </w:rPr>
        <w:t>预警级别</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5.3</w:t>
      </w:r>
      <w:r>
        <w:rPr>
          <w:rStyle w:val="34"/>
          <w:rFonts w:hint="eastAsia"/>
          <w:color w:val="000000" w:themeColor="text1"/>
          <w14:textFill>
            <w14:solidFill>
              <w14:schemeClr w14:val="tx1"/>
            </w14:solidFill>
          </w14:textFill>
        </w:rPr>
        <w:t>预警信息汇总和发布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"_Toc43143199"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5.4</w:t>
      </w:r>
      <w:r>
        <w:rPr>
          <w:rStyle w:val="34"/>
          <w:rFonts w:hint="eastAsia"/>
          <w:color w:val="000000" w:themeColor="text1"/>
          <w14:textFill>
            <w14:solidFill>
              <w14:schemeClr w14:val="tx1"/>
            </w14:solidFill>
          </w14:textFill>
        </w:rPr>
        <w:t>预警结束</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_Toc43143199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"_Toc43143200" </w:instrText>
      </w:r>
      <w:r>
        <w:rPr>
          <w:color w:val="000000" w:themeColor="text1"/>
          <w14:textFill>
            <w14:solidFill>
              <w14:schemeClr w14:val="tx1"/>
            </w14:solidFill>
          </w14:textFill>
        </w:rPr>
        <w:fldChar w:fldCharType="separate"/>
      </w:r>
      <w:r>
        <w:rPr>
          <w:rStyle w:val="34"/>
          <w:rFonts w:eastAsia="楷体_GB2312" w:cs="Times New Roman"/>
          <w:color w:val="000000" w:themeColor="text1"/>
          <w14:textFill>
            <w14:solidFill>
              <w14:schemeClr w14:val="tx1"/>
            </w14:solidFill>
          </w14:textFill>
        </w:rPr>
        <w:t>6</w:t>
      </w:r>
      <w:r>
        <w:rPr>
          <w:rStyle w:val="34"/>
          <w:rFonts w:hint="eastAsia" w:eastAsia="楷体_GB2312" w:cs="Times New Roman"/>
          <w:color w:val="000000" w:themeColor="text1"/>
          <w14:textFill>
            <w14:solidFill>
              <w14:schemeClr w14:val="tx1"/>
            </w14:solidFill>
          </w14:textFill>
        </w:rPr>
        <w:t>应急处置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6.1</w:t>
      </w:r>
      <w:r>
        <w:rPr>
          <w:rStyle w:val="34"/>
          <w:rFonts w:hint="eastAsia"/>
          <w:color w:val="000000" w:themeColor="text1"/>
          <w14:textFill>
            <w14:solidFill>
              <w14:schemeClr w14:val="tx1"/>
            </w14:solidFill>
          </w14:textFill>
        </w:rPr>
        <w:t>应急响应分级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6.2</w:t>
      </w:r>
      <w:r>
        <w:rPr>
          <w:rStyle w:val="34"/>
          <w:rFonts w:hint="eastAsia"/>
          <w:color w:val="000000" w:themeColor="text1"/>
          <w14:textFill>
            <w14:solidFill>
              <w14:schemeClr w14:val="tx1"/>
            </w14:solidFill>
          </w14:textFill>
        </w:rPr>
        <w:t>信息报告和通报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6.3</w:t>
      </w:r>
      <w:r>
        <w:rPr>
          <w:rStyle w:val="34"/>
          <w:rFonts w:hint="eastAsia"/>
          <w:color w:val="000000" w:themeColor="text1"/>
          <w14:textFill>
            <w14:solidFill>
              <w14:schemeClr w14:val="tx1"/>
            </w14:solidFill>
          </w14:textFill>
        </w:rPr>
        <w:t>环境应急监测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6.3.1</w:t>
      </w:r>
      <w:r>
        <w:rPr>
          <w:rStyle w:val="34"/>
          <w:rFonts w:hint="eastAsia"/>
          <w:color w:val="000000" w:themeColor="text1"/>
          <w14:textFill>
            <w14:solidFill>
              <w14:schemeClr w14:val="tx1"/>
            </w14:solidFill>
          </w14:textFill>
        </w:rPr>
        <w:t>应急监测方案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6.3.2</w:t>
      </w:r>
      <w:r>
        <w:rPr>
          <w:rStyle w:val="34"/>
          <w:rFonts w:hint="eastAsia"/>
          <w:color w:val="000000" w:themeColor="text1"/>
          <w14:textFill>
            <w14:solidFill>
              <w14:schemeClr w14:val="tx1"/>
            </w14:solidFill>
          </w14:textFill>
        </w:rPr>
        <w:t>应急监测保障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w:t>
      </w:r>
      <w:r>
        <w:rPr>
          <w:rStyle w:val="34"/>
          <w:rFonts w:hint="eastAsia"/>
          <w:color w:val="000000" w:themeColor="text1"/>
          <w14:textFill>
            <w14:solidFill>
              <w14:schemeClr w14:val="tx1"/>
            </w14:solidFill>
          </w14:textFill>
        </w:rPr>
        <w:t>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6.4.1</w:t>
      </w:r>
      <w:r>
        <w:rPr>
          <w:rStyle w:val="34"/>
          <w:rFonts w:hint="eastAsia"/>
          <w:color w:val="000000" w:themeColor="text1"/>
          <w14:textFill>
            <w14:solidFill>
              <w14:schemeClr w14:val="tx1"/>
            </w14:solidFill>
          </w14:textFill>
        </w:rPr>
        <w:t>尾矿砂浆外泄情景处置方案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6.4.2</w:t>
      </w:r>
      <w:r>
        <w:rPr>
          <w:rStyle w:val="34"/>
          <w:rFonts w:hint="eastAsia"/>
          <w:color w:val="000000" w:themeColor="text1"/>
          <w14:textFill>
            <w14:solidFill>
              <w14:schemeClr w14:val="tx1"/>
            </w14:solidFill>
          </w14:textFill>
        </w:rPr>
        <w:t>尾矿水超标外排情景处置方案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"_Toc43143209"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6.4.3</w:t>
      </w:r>
      <w:r>
        <w:rPr>
          <w:rStyle w:val="34"/>
          <w:rFonts w:hint="eastAsia"/>
          <w:color w:val="000000" w:themeColor="text1"/>
          <w14:textFill>
            <w14:solidFill>
              <w14:schemeClr w14:val="tx1"/>
            </w14:solidFill>
          </w14:textFill>
        </w:rPr>
        <w:t>尾矿库渗滤液溢出外排情景处置方案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_Toc43143209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6.4.4</w:t>
      </w:r>
      <w:r>
        <w:rPr>
          <w:rStyle w:val="34"/>
          <w:rFonts w:hint="eastAsia"/>
          <w:color w:val="000000" w:themeColor="text1"/>
          <w14:textFill>
            <w14:solidFill>
              <w14:schemeClr w14:val="tx1"/>
            </w14:solidFill>
          </w14:textFill>
        </w:rPr>
        <w:t>尾矿输送管线泄漏情景处置方案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6.4.5</w:t>
      </w:r>
      <w:r>
        <w:rPr>
          <w:rStyle w:val="34"/>
          <w:rFonts w:hint="eastAsia"/>
          <w:color w:val="000000" w:themeColor="text1"/>
          <w14:textFill>
            <w14:solidFill>
              <w14:schemeClr w14:val="tx1"/>
            </w14:solidFill>
          </w14:textFill>
        </w:rPr>
        <w:t>回水管线泄漏情景处置方案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6.4.6</w:t>
      </w:r>
      <w:r>
        <w:rPr>
          <w:rStyle w:val="34"/>
          <w:rFonts w:hint="eastAsia"/>
          <w:color w:val="000000" w:themeColor="text1"/>
          <w14:textFill>
            <w14:solidFill>
              <w14:schemeClr w14:val="tx1"/>
            </w14:solidFill>
          </w14:textFill>
        </w:rPr>
        <w:t>尾矿库渗漏情景处置方案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6.4.7</w:t>
      </w:r>
      <w:r>
        <w:rPr>
          <w:rStyle w:val="34"/>
          <w:rFonts w:hint="eastAsia"/>
          <w:color w:val="000000" w:themeColor="text1"/>
          <w14:textFill>
            <w14:solidFill>
              <w14:schemeClr w14:val="tx1"/>
            </w14:solidFill>
          </w14:textFill>
        </w:rPr>
        <w:t>尾矿库溃坝情景处置方案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6.5</w:t>
      </w:r>
      <w:r>
        <w:rPr>
          <w:rStyle w:val="34"/>
          <w:rFonts w:hint="eastAsia"/>
          <w:color w:val="000000" w:themeColor="text1"/>
          <w14:textFill>
            <w14:solidFill>
              <w14:schemeClr w14:val="tx1"/>
            </w14:solidFill>
          </w14:textFill>
        </w:rPr>
        <w:t>配合有关部门应急响应</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"_Toc43143215"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7</w:t>
      </w:r>
      <w:r>
        <w:rPr>
          <w:rStyle w:val="34"/>
          <w:rFonts w:hint="eastAsia" w:eastAsia="楷体_GB2312" w:cs="Times New Roman"/>
          <w:bCs/>
          <w:color w:val="000000" w:themeColor="text1"/>
          <w14:textFill>
            <w14:solidFill>
              <w14:schemeClr w14:val="tx1"/>
            </w14:solidFill>
          </w14:textFill>
        </w:rPr>
        <w:t>应急终止</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7.1</w:t>
      </w:r>
      <w:r>
        <w:rPr>
          <w:rStyle w:val="34"/>
          <w:rFonts w:hint="eastAsia"/>
          <w:color w:val="000000" w:themeColor="text1"/>
          <w14:textFill>
            <w14:solidFill>
              <w14:schemeClr w14:val="tx1"/>
            </w14:solidFill>
          </w14:textFill>
        </w:rPr>
        <w:t>应急响应终止条件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7.2</w:t>
      </w:r>
      <w:r>
        <w:rPr>
          <w:rStyle w:val="34"/>
          <w:rFonts w:hint="eastAsia"/>
          <w:color w:val="000000" w:themeColor="text1"/>
          <w14:textFill>
            <w14:solidFill>
              <w14:schemeClr w14:val="tx1"/>
            </w14:solidFill>
          </w14:textFill>
        </w:rPr>
        <w:t>应急终止程序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7.3</w:t>
      </w:r>
      <w:r>
        <w:rPr>
          <w:rStyle w:val="34"/>
          <w:rFonts w:hint="eastAsia"/>
          <w:color w:val="000000" w:themeColor="text1"/>
          <w14:textFill>
            <w14:solidFill>
              <w14:schemeClr w14:val="tx1"/>
            </w14:solidFill>
          </w14:textFill>
        </w:rPr>
        <w:t>应急终止后行动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"_Toc43143219"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w:t>
      </w:r>
      <w:r>
        <w:rPr>
          <w:rStyle w:val="34"/>
          <w:rFonts w:hint="eastAsia"/>
          <w:color w:val="000000" w:themeColor="text1"/>
          <w14:textFill>
            <w14:solidFill>
              <w14:schemeClr w14:val="tx1"/>
            </w14:solidFill>
          </w14:textFill>
        </w:rPr>
        <w:t>后期处置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_Toc43143219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8.1</w:t>
      </w:r>
      <w:r>
        <w:rPr>
          <w:rStyle w:val="34"/>
          <w:rFonts w:hint="eastAsia"/>
          <w:color w:val="000000" w:themeColor="text1"/>
          <w14:textFill>
            <w14:solidFill>
              <w14:schemeClr w14:val="tx1"/>
            </w14:solidFill>
          </w14:textFill>
        </w:rPr>
        <w:t>善后处置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8.1.1</w:t>
      </w:r>
      <w:r>
        <w:rPr>
          <w:rStyle w:val="34"/>
          <w:rFonts w:hint="eastAsia"/>
          <w:color w:val="000000" w:themeColor="text1"/>
          <w14:textFill>
            <w14:solidFill>
              <w14:schemeClr w14:val="tx1"/>
            </w14:solidFill>
          </w14:textFill>
        </w:rPr>
        <w:t>现场保护与洗消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8.1.2</w:t>
      </w:r>
      <w:r>
        <w:rPr>
          <w:rStyle w:val="34"/>
          <w:rFonts w:hint="eastAsia"/>
          <w:color w:val="000000" w:themeColor="text1"/>
          <w14:textFill>
            <w14:solidFill>
              <w14:schemeClr w14:val="tx1"/>
            </w14:solidFill>
          </w14:textFill>
        </w:rPr>
        <w:t>事故现场善后处理、恢复措施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8.1.3</w:t>
      </w:r>
      <w:r>
        <w:rPr>
          <w:rStyle w:val="34"/>
          <w:rFonts w:hint="eastAsia"/>
          <w:color w:val="000000" w:themeColor="text1"/>
          <w14:textFill>
            <w14:solidFill>
              <w14:schemeClr w14:val="tx1"/>
            </w14:solidFill>
          </w14:textFill>
        </w:rPr>
        <w:t>周围村庄及居民的善后处理、恢复措施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8.2</w:t>
      </w:r>
      <w:r>
        <w:rPr>
          <w:rStyle w:val="34"/>
          <w:rFonts w:hint="eastAsia"/>
          <w:color w:val="000000" w:themeColor="text1"/>
          <w14:textFill>
            <w14:solidFill>
              <w14:schemeClr w14:val="tx1"/>
            </w14:solidFill>
          </w14:textFill>
        </w:rPr>
        <w:t>保险</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8.3</w:t>
      </w:r>
      <w:r>
        <w:rPr>
          <w:rStyle w:val="34"/>
          <w:rFonts w:hint="eastAsia"/>
          <w:color w:val="000000" w:themeColor="text1"/>
          <w14:textFill>
            <w14:solidFill>
              <w14:schemeClr w14:val="tx1"/>
            </w14:solidFill>
          </w14:textFill>
        </w:rPr>
        <w:t>评估与总结</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"_Toc43143226"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9</w:t>
      </w:r>
      <w:r>
        <w:rPr>
          <w:rStyle w:val="34"/>
          <w:rFonts w:hint="eastAsia" w:eastAsia="楷体_GB2312" w:cs="Times New Roman"/>
          <w:bCs/>
          <w:color w:val="000000" w:themeColor="text1"/>
          <w14:textFill>
            <w14:solidFill>
              <w14:schemeClr w14:val="tx1"/>
            </w14:solidFill>
          </w14:textFill>
        </w:rPr>
        <w:t>应急培训与演练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9.1</w:t>
      </w:r>
      <w:r>
        <w:rPr>
          <w:rStyle w:val="34"/>
          <w:rFonts w:hint="eastAsia"/>
          <w:color w:val="000000" w:themeColor="text1"/>
          <w14:textFill>
            <w14:solidFill>
              <w14:schemeClr w14:val="tx1"/>
            </w14:solidFill>
          </w14:textFill>
        </w:rPr>
        <w:t>培训</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9.1.1</w:t>
      </w:r>
      <w:r>
        <w:rPr>
          <w:rStyle w:val="34"/>
          <w:rFonts w:hint="eastAsia"/>
          <w:color w:val="000000" w:themeColor="text1"/>
          <w14:textFill>
            <w14:solidFill>
              <w14:schemeClr w14:val="tx1"/>
            </w14:solidFill>
          </w14:textFill>
        </w:rPr>
        <w:t>组织、指导应急预案的培训工作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"_Toc43143229"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9.1.2</w:t>
      </w:r>
      <w:r>
        <w:rPr>
          <w:rStyle w:val="34"/>
          <w:rFonts w:hint="eastAsia"/>
          <w:color w:val="000000" w:themeColor="text1"/>
          <w14:textFill>
            <w14:solidFill>
              <w14:schemeClr w14:val="tx1"/>
            </w14:solidFill>
          </w14:textFill>
        </w:rPr>
        <w:t>应急处置人员的培训内容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_Toc43143229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9.1.3</w:t>
      </w:r>
      <w:r>
        <w:rPr>
          <w:rStyle w:val="34"/>
          <w:rFonts w:hint="eastAsia"/>
          <w:color w:val="000000" w:themeColor="text1"/>
          <w14:textFill>
            <w14:solidFill>
              <w14:schemeClr w14:val="tx1"/>
            </w14:solidFill>
          </w14:textFill>
        </w:rPr>
        <w:t>员工与公众的培训</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9.1.4</w:t>
      </w:r>
      <w:r>
        <w:rPr>
          <w:rStyle w:val="34"/>
          <w:rFonts w:hint="eastAsia"/>
          <w:color w:val="000000" w:themeColor="text1"/>
          <w14:textFill>
            <w14:solidFill>
              <w14:schemeClr w14:val="tx1"/>
            </w14:solidFill>
          </w14:textFill>
        </w:rPr>
        <w:t>应急培训要求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9.2</w:t>
      </w:r>
      <w:r>
        <w:rPr>
          <w:rStyle w:val="34"/>
          <w:rFonts w:hint="eastAsia"/>
          <w:color w:val="000000" w:themeColor="text1"/>
          <w14:textFill>
            <w14:solidFill>
              <w14:schemeClr w14:val="tx1"/>
            </w14:solidFill>
          </w14:textFill>
        </w:rPr>
        <w:t>演练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9.2.1</w:t>
      </w:r>
      <w:r>
        <w:rPr>
          <w:rStyle w:val="34"/>
          <w:rFonts w:hint="eastAsia"/>
          <w:color w:val="000000" w:themeColor="text1"/>
          <w14:textFill>
            <w14:solidFill>
              <w14:schemeClr w14:val="tx1"/>
            </w14:solidFill>
          </w14:textFill>
        </w:rPr>
        <w:t>演练准备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9.2.2</w:t>
      </w:r>
      <w:r>
        <w:rPr>
          <w:rStyle w:val="34"/>
          <w:rFonts w:hint="eastAsia"/>
          <w:color w:val="000000" w:themeColor="text1"/>
          <w14:textFill>
            <w14:solidFill>
              <w14:schemeClr w14:val="tx1"/>
            </w14:solidFill>
          </w14:textFill>
        </w:rPr>
        <w:t>演练方式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9.2.3</w:t>
      </w:r>
      <w:r>
        <w:rPr>
          <w:rStyle w:val="34"/>
          <w:rFonts w:hint="eastAsia"/>
          <w:color w:val="000000" w:themeColor="text1"/>
          <w14:textFill>
            <w14:solidFill>
              <w14:schemeClr w14:val="tx1"/>
            </w14:solidFill>
          </w14:textFill>
        </w:rPr>
        <w:t>演练范围与频次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9.2.4</w:t>
      </w:r>
      <w:r>
        <w:rPr>
          <w:rStyle w:val="34"/>
          <w:rFonts w:hint="eastAsia"/>
          <w:color w:val="000000" w:themeColor="text1"/>
          <w14:textFill>
            <w14:solidFill>
              <w14:schemeClr w14:val="tx1"/>
            </w14:solidFill>
          </w14:textFill>
        </w:rPr>
        <w:t>演练组织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9.3</w:t>
      </w:r>
      <w:r>
        <w:rPr>
          <w:rStyle w:val="34"/>
          <w:rFonts w:hint="eastAsia"/>
          <w:color w:val="000000" w:themeColor="text1"/>
          <w14:textFill>
            <w14:solidFill>
              <w14:schemeClr w14:val="tx1"/>
            </w14:solidFill>
          </w14:textFill>
        </w:rPr>
        <w:t>记录与考核</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9.3.1</w:t>
      </w:r>
      <w:r>
        <w:rPr>
          <w:rStyle w:val="34"/>
          <w:rFonts w:hint="eastAsia"/>
          <w:color w:val="000000" w:themeColor="text1"/>
          <w14:textFill>
            <w14:solidFill>
              <w14:schemeClr w14:val="tx1"/>
            </w14:solidFill>
          </w14:textFill>
        </w:rPr>
        <w:t>演练记录内容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"_Toc43143239"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9.3.2</w:t>
      </w:r>
      <w:r>
        <w:rPr>
          <w:rStyle w:val="34"/>
          <w:rFonts w:hint="eastAsia"/>
          <w:color w:val="000000" w:themeColor="text1"/>
          <w14:textFill>
            <w14:solidFill>
              <w14:schemeClr w14:val="tx1"/>
            </w14:solidFill>
          </w14:textFill>
        </w:rPr>
        <w:t>演练考核</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_Toc43143239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"_Toc43143240"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10</w:t>
      </w:r>
      <w:r>
        <w:rPr>
          <w:rStyle w:val="34"/>
          <w:rFonts w:hint="eastAsia" w:eastAsia="楷体_GB2312" w:cs="Times New Roman"/>
          <w:bCs/>
          <w:color w:val="000000" w:themeColor="text1"/>
          <w14:textFill>
            <w14:solidFill>
              <w14:schemeClr w14:val="tx1"/>
            </w14:solidFill>
          </w14:textFill>
        </w:rPr>
        <w:t>奖罚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10.1</w:t>
      </w:r>
      <w:r>
        <w:rPr>
          <w:rStyle w:val="34"/>
          <w:rFonts w:hint="eastAsia"/>
          <w:color w:val="000000" w:themeColor="text1"/>
          <w14:textFill>
            <w14:solidFill>
              <w14:schemeClr w14:val="tx1"/>
            </w14:solidFill>
          </w14:textFill>
        </w:rPr>
        <w:t>事故应急救援工作实行奖励制度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10.2</w:t>
      </w:r>
      <w:r>
        <w:rPr>
          <w:rStyle w:val="34"/>
          <w:rFonts w:hint="eastAsia"/>
          <w:color w:val="000000" w:themeColor="text1"/>
          <w14:textFill>
            <w14:solidFill>
              <w14:schemeClr w14:val="tx1"/>
            </w14:solidFill>
          </w14:textFill>
        </w:rPr>
        <w:t>事故应急救援工作实行处罚制度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"_Toc43143243"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11</w:t>
      </w:r>
      <w:r>
        <w:rPr>
          <w:rStyle w:val="34"/>
          <w:rFonts w:hint="eastAsia" w:eastAsia="楷体_GB2312" w:cs="Times New Roman"/>
          <w:bCs/>
          <w:color w:val="000000" w:themeColor="text1"/>
          <w14:textFill>
            <w14:solidFill>
              <w14:schemeClr w14:val="tx1"/>
            </w14:solidFill>
          </w14:textFill>
        </w:rPr>
        <w:t>保障措施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"_Toc43143244"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11.1</w:t>
      </w:r>
      <w:r>
        <w:rPr>
          <w:rStyle w:val="34"/>
          <w:rFonts w:hint="eastAsia"/>
          <w:color w:val="000000" w:themeColor="text1"/>
          <w14:textFill>
            <w14:solidFill>
              <w14:schemeClr w14:val="tx1"/>
            </w14:solidFill>
          </w14:textFill>
        </w:rPr>
        <w:t>人力资源保障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11.2</w:t>
      </w:r>
      <w:r>
        <w:rPr>
          <w:rStyle w:val="34"/>
          <w:rFonts w:hint="eastAsia"/>
          <w:color w:val="000000" w:themeColor="text1"/>
          <w14:textFill>
            <w14:solidFill>
              <w14:schemeClr w14:val="tx1"/>
            </w14:solidFill>
          </w14:textFill>
        </w:rPr>
        <w:t>财力保障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11.3</w:t>
      </w:r>
      <w:r>
        <w:rPr>
          <w:rStyle w:val="34"/>
          <w:rFonts w:hint="eastAsia"/>
          <w:color w:val="000000" w:themeColor="text1"/>
          <w14:textFill>
            <w14:solidFill>
              <w14:schemeClr w14:val="tx1"/>
            </w14:solidFill>
          </w14:textFill>
        </w:rPr>
        <w:t>物资保障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w:t>
      </w:r>
      <w:r>
        <w:rPr>
          <w:rStyle w:val="34"/>
          <w:rFonts w:hint="eastAsia"/>
          <w:color w:val="000000" w:themeColor="text1"/>
          <w14:textFill>
            <w14:solidFill>
              <w14:schemeClr w14:val="tx1"/>
            </w14:solidFill>
          </w14:textFill>
        </w:rPr>
        <w:t>其他保障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11.4.1</w:t>
      </w:r>
      <w:r>
        <w:rPr>
          <w:rStyle w:val="34"/>
          <w:rFonts w:hint="eastAsia"/>
          <w:color w:val="000000" w:themeColor="text1"/>
          <w14:textFill>
            <w14:solidFill>
              <w14:schemeClr w14:val="tx1"/>
            </w14:solidFill>
          </w14:textFill>
        </w:rPr>
        <w:t>通讯与信息保障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"_Toc43143249"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11.4.2</w:t>
      </w:r>
      <w:r>
        <w:rPr>
          <w:rStyle w:val="34"/>
          <w:rFonts w:hint="eastAsia"/>
          <w:color w:val="000000" w:themeColor="text1"/>
          <w14:textFill>
            <w14:solidFill>
              <w14:schemeClr w14:val="tx1"/>
            </w14:solidFill>
          </w14:textFill>
        </w:rPr>
        <w:t>环境监测保障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11.4.3</w:t>
      </w:r>
      <w:r>
        <w:rPr>
          <w:rStyle w:val="34"/>
          <w:rFonts w:hint="eastAsia"/>
          <w:color w:val="000000" w:themeColor="text1"/>
          <w14:textFill>
            <w14:solidFill>
              <w14:schemeClr w14:val="tx1"/>
            </w14:solidFill>
          </w14:textFill>
        </w:rPr>
        <w:t>救援装备保障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11.4.4</w:t>
      </w:r>
      <w:r>
        <w:rPr>
          <w:rStyle w:val="34"/>
          <w:rFonts w:hint="eastAsia"/>
          <w:color w:val="000000" w:themeColor="text1"/>
          <w14:textFill>
            <w14:solidFill>
              <w14:schemeClr w14:val="tx1"/>
            </w14:solidFill>
          </w14:textFill>
        </w:rPr>
        <w:t>交通运输保障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11.4.5</w:t>
      </w:r>
      <w:r>
        <w:rPr>
          <w:rStyle w:val="34"/>
          <w:rFonts w:hint="eastAsia"/>
          <w:color w:val="000000" w:themeColor="text1"/>
          <w14:textFill>
            <w14:solidFill>
              <w14:schemeClr w14:val="tx1"/>
            </w14:solidFill>
          </w14:textFill>
        </w:rPr>
        <w:t>救援医疗保障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296"/>
        </w:tabs>
        <w:ind w:left="112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"_Toc43143253"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11.4.6</w:t>
      </w:r>
      <w:r>
        <w:rPr>
          <w:rStyle w:val="34"/>
          <w:rFonts w:hint="eastAsia"/>
          <w:color w:val="000000" w:themeColor="text1"/>
          <w14:textFill>
            <w14:solidFill>
              <w14:schemeClr w14:val="tx1"/>
            </w14:solidFill>
          </w14:textFill>
        </w:rPr>
        <w:t>治安保障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"_Toc43143254"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12</w:t>
      </w:r>
      <w:r>
        <w:rPr>
          <w:rStyle w:val="34"/>
          <w:rFonts w:hint="eastAsia" w:eastAsia="楷体_GB2312" w:cs="Times New Roman"/>
          <w:bCs/>
          <w:color w:val="000000" w:themeColor="text1"/>
          <w14:textFill>
            <w14:solidFill>
              <w14:schemeClr w14:val="tx1"/>
            </w14:solidFill>
          </w14:textFill>
        </w:rPr>
        <w:t>预案的评审、备案、发布和更新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"_Toc43143255"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12.1</w:t>
      </w:r>
      <w:r>
        <w:rPr>
          <w:rStyle w:val="34"/>
          <w:rFonts w:hint="eastAsia"/>
          <w:color w:val="000000" w:themeColor="text1"/>
          <w14:textFill>
            <w14:solidFill>
              <w14:schemeClr w14:val="tx1"/>
            </w14:solidFill>
          </w14:textFill>
        </w:rPr>
        <w:t>预案的评审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"_Toc43143256"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12.2</w:t>
      </w:r>
      <w:r>
        <w:rPr>
          <w:rStyle w:val="34"/>
          <w:rFonts w:hint="eastAsia"/>
          <w:color w:val="000000" w:themeColor="text1"/>
          <w14:textFill>
            <w14:solidFill>
              <w14:schemeClr w14:val="tx1"/>
            </w14:solidFill>
          </w14:textFill>
        </w:rPr>
        <w:t>预案的备案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"_Toc43143257"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12.3</w:t>
      </w:r>
      <w:r>
        <w:rPr>
          <w:rStyle w:val="34"/>
          <w:rFonts w:hint="eastAsia"/>
          <w:color w:val="000000" w:themeColor="text1"/>
          <w14:textFill>
            <w14:solidFill>
              <w14:schemeClr w14:val="tx1"/>
            </w14:solidFill>
          </w14:textFill>
        </w:rPr>
        <w:t>预案的发布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"_Toc43143258"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12.4</w:t>
      </w:r>
      <w:r>
        <w:rPr>
          <w:rStyle w:val="34"/>
          <w:rFonts w:hint="eastAsia"/>
          <w:color w:val="000000" w:themeColor="text1"/>
          <w14:textFill>
            <w14:solidFill>
              <w14:schemeClr w14:val="tx1"/>
            </w14:solidFill>
          </w14:textFill>
        </w:rPr>
        <w:t>预案的更新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"_Toc43143259"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13</w:t>
      </w:r>
      <w:r>
        <w:rPr>
          <w:rStyle w:val="34"/>
          <w:rFonts w:hint="eastAsia"/>
          <w:color w:val="000000" w:themeColor="text1"/>
          <w14:textFill>
            <w14:solidFill>
              <w14:schemeClr w14:val="tx1"/>
            </w14:solidFill>
          </w14:textFill>
        </w:rPr>
        <w:t>预案的实施和生效时间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"_Toc43143260"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13.1</w:t>
      </w:r>
      <w:r>
        <w:rPr>
          <w:rStyle w:val="34"/>
          <w:rFonts w:hint="eastAsia"/>
          <w:color w:val="000000" w:themeColor="text1"/>
          <w14:textFill>
            <w14:solidFill>
              <w14:schemeClr w14:val="tx1"/>
            </w14:solidFill>
          </w14:textFill>
        </w:rPr>
        <w:t>预案的管理与更新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"_Toc43143261"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13.2</w:t>
      </w:r>
      <w:r>
        <w:rPr>
          <w:rStyle w:val="34"/>
          <w:rFonts w:hint="eastAsia"/>
          <w:color w:val="000000" w:themeColor="text1"/>
          <w14:textFill>
            <w14:solidFill>
              <w14:schemeClr w14:val="tx1"/>
            </w14:solidFill>
          </w14:textFill>
        </w:rPr>
        <w:t>预案解释部门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_Toc43143261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"_Toc43143262" </w:instrText>
      </w:r>
      <w:r>
        <w:rPr>
          <w:color w:val="000000" w:themeColor="text1"/>
          <w14:textFill>
            <w14:solidFill>
              <w14:schemeClr w14:val="tx1"/>
            </w14:solidFill>
          </w14:textFill>
        </w:rPr>
        <w:fldChar w:fldCharType="separate"/>
      </w:r>
      <w:r>
        <w:rPr>
          <w:rStyle w:val="34"/>
          <w:color w:val="000000" w:themeColor="text1"/>
          <w14:textFill>
            <w14:solidFill>
              <w14:schemeClr w14:val="tx1"/>
            </w14:solidFill>
          </w14:textFill>
        </w:rPr>
        <w:t>13.3</w:t>
      </w:r>
      <w:r>
        <w:rPr>
          <w:rStyle w:val="34"/>
          <w:rFonts w:hint="eastAsia"/>
          <w:color w:val="000000" w:themeColor="text1"/>
          <w14:textFill>
            <w14:solidFill>
              <w14:schemeClr w14:val="tx1"/>
            </w14:solidFill>
          </w14:textFill>
        </w:rPr>
        <w:t>预案的实施和生效时间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_Toc43143262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"_Toc43143263" </w:instrText>
      </w:r>
      <w:r>
        <w:rPr>
          <w:color w:val="000000" w:themeColor="text1"/>
          <w14:textFill>
            <w14:solidFill>
              <w14:schemeClr w14:val="tx1"/>
            </w14:solidFill>
          </w14:textFill>
        </w:rPr>
        <w:fldChar w:fldCharType="separate"/>
      </w:r>
      <w:r>
        <w:rPr>
          <w:rStyle w:val="34"/>
          <w:rFonts w:eastAsia="楷体_GB2312" w:cs="Times New Roman"/>
          <w:bCs/>
          <w:color w:val="000000" w:themeColor="text1"/>
          <w14:textFill>
            <w14:solidFill>
              <w14:schemeClr w14:val="tx1"/>
            </w14:solidFill>
          </w14:textFill>
        </w:rPr>
        <w:t>14</w:t>
      </w:r>
      <w:r>
        <w:rPr>
          <w:rStyle w:val="34"/>
          <w:rFonts w:hint="eastAsia" w:eastAsia="楷体_GB2312" w:cs="Times New Roman"/>
          <w:bCs/>
          <w:color w:val="000000" w:themeColor="text1"/>
          <w14:textFill>
            <w14:solidFill>
              <w14:schemeClr w14:val="tx1"/>
            </w14:solidFill>
          </w14:textFill>
        </w:rPr>
        <w:t>尾矿库场外环境应急专篇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6"/>
        <w:tabs>
          <w:tab w:val="right" w:leader="dot" w:pos="8296"/>
        </w:tabs>
        <w:ind w:left="560" w:firstLine="0" w:firstLineChars="0"/>
        <w:rPr>
          <w:rFonts w:asciiTheme="minorHAnsi" w:hAnsiTheme="minorHAnsi" w:eastAsiaTheme="minorEastAsia" w:cstheme="minorBidi"/>
          <w:color w:val="000000" w:themeColor="text1"/>
          <w:sz w:val="22"/>
          <w:szCs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"_Toc43143264" </w:instrText>
      </w:r>
      <w:r>
        <w:rPr>
          <w:color w:val="000000" w:themeColor="text1"/>
          <w14:textFill>
            <w14:solidFill>
              <w14:schemeClr w14:val="tx1"/>
            </w14:solidFill>
          </w14:textFill>
        </w:rPr>
        <w:fldChar w:fldCharType="separate"/>
      </w:r>
      <w:r>
        <w:rPr>
          <w:rStyle w:val="34"/>
          <w:rFonts w:ascii="楷体_GB2312" w:hAnsi="楷体_GB2312"/>
          <w:b/>
          <w:color w:val="000000" w:themeColor="text1"/>
          <w:kern w:val="44"/>
          <w14:textFill>
            <w14:solidFill>
              <w14:schemeClr w14:val="tx1"/>
            </w14:solidFill>
          </w14:textFill>
        </w:rPr>
        <w:t>15</w:t>
      </w:r>
      <w:r>
        <w:rPr>
          <w:rStyle w:val="34"/>
          <w:rFonts w:hint="eastAsia" w:ascii="楷体_GB2312" w:hAnsi="楷体_GB2312"/>
          <w:b/>
          <w:color w:val="000000" w:themeColor="text1"/>
          <w:kern w:val="44"/>
          <w14:textFill>
            <w14:solidFill>
              <w14:schemeClr w14:val="tx1"/>
            </w14:solidFill>
          </w14:textFill>
        </w:rPr>
        <w:t>术语和定义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_Toc43143264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spacing w:line="360" w:lineRule="exact"/>
        <w:ind w:firstLine="0" w:firstLineChars="0"/>
        <w:rPr>
          <w:rFonts w:cs="Times New Roman"/>
          <w:b/>
          <w:color w:val="000000" w:themeColor="text1"/>
          <w14:textFill>
            <w14:solidFill>
              <w14:schemeClr w14:val="tx1"/>
            </w14:solidFill>
          </w14:textFill>
        </w:rPr>
      </w:pPr>
      <w:r>
        <w:rPr>
          <w:rFonts w:cs="Times New Roman"/>
          <w:color w:val="000000" w:themeColor="text1"/>
          <w:lang w:val="zh-CN"/>
          <w14:textFill>
            <w14:solidFill>
              <w14:schemeClr w14:val="tx1"/>
            </w14:solidFill>
          </w14:textFill>
        </w:rPr>
        <w:fldChar w:fldCharType="end"/>
      </w:r>
      <w:r>
        <w:rPr>
          <w:rFonts w:cs="Times New Roman"/>
          <w:b/>
          <w:color w:val="000000" w:themeColor="text1"/>
          <w14:textFill>
            <w14:solidFill>
              <w14:schemeClr w14:val="tx1"/>
            </w14:solidFill>
          </w14:textFill>
        </w:rPr>
        <w:t>附图：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附图1：尾矿库地理位置图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附图2：</w:t>
      </w:r>
      <w:r>
        <w:rPr>
          <w:rFonts w:hint="eastAsia" w:cs="Times New Roman"/>
          <w:color w:val="000000" w:themeColor="text1"/>
          <w14:textFill>
            <w14:solidFill>
              <w14:schemeClr w14:val="tx1"/>
            </w14:solidFill>
          </w14:textFill>
        </w:rPr>
        <w:t>尾矿库平面布置图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附图3：</w:t>
      </w:r>
      <w:r>
        <w:rPr>
          <w:rFonts w:hint="eastAsia" w:cs="Times New Roman"/>
          <w:color w:val="000000" w:themeColor="text1"/>
          <w14:textFill>
            <w14:solidFill>
              <w14:schemeClr w14:val="tx1"/>
            </w14:solidFill>
          </w14:textFill>
        </w:rPr>
        <w:t>尾矿库周边环境风险受体图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附图4：</w:t>
      </w:r>
      <w:r>
        <w:rPr>
          <w:rFonts w:hint="eastAsia" w:cs="Times New Roman"/>
          <w:color w:val="000000" w:themeColor="text1"/>
          <w14:textFill>
            <w14:solidFill>
              <w14:schemeClr w14:val="tx1"/>
            </w14:solidFill>
          </w14:textFill>
        </w:rPr>
        <w:t>尾矿输送、回水管线走向示意图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附图5：尾矿库</w:t>
      </w:r>
      <w:r>
        <w:rPr>
          <w:rFonts w:hint="eastAsia" w:cs="Times New Roman"/>
          <w:color w:val="000000" w:themeColor="text1"/>
          <w14:textFill>
            <w14:solidFill>
              <w14:schemeClr w14:val="tx1"/>
            </w14:solidFill>
          </w14:textFill>
        </w:rPr>
        <w:t>水系</w:t>
      </w:r>
      <w:r>
        <w:rPr>
          <w:rFonts w:cs="Times New Roman"/>
          <w:color w:val="000000" w:themeColor="text1"/>
          <w14:textFill>
            <w14:solidFill>
              <w14:schemeClr w14:val="tx1"/>
            </w14:solidFill>
          </w14:textFill>
        </w:rPr>
        <w:t>分布图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附图6：尾矿库</w:t>
      </w:r>
      <w:r>
        <w:rPr>
          <w:rFonts w:hint="eastAsia" w:cs="Times New Roman"/>
          <w:color w:val="000000" w:themeColor="text1"/>
          <w14:textFill>
            <w14:solidFill>
              <w14:schemeClr w14:val="tx1"/>
            </w14:solidFill>
          </w14:textFill>
        </w:rPr>
        <w:t>危险因素平面分布</w:t>
      </w:r>
      <w:r>
        <w:rPr>
          <w:rFonts w:cs="Times New Roman"/>
          <w:color w:val="000000" w:themeColor="text1"/>
          <w14:textFill>
            <w14:solidFill>
              <w14:schemeClr w14:val="tx1"/>
            </w14:solidFill>
          </w14:textFill>
        </w:rPr>
        <w:t>图</w:t>
      </w:r>
    </w:p>
    <w:p>
      <w:pPr>
        <w:adjustRightInd/>
        <w:snapToGrid w:val="0"/>
        <w:spacing w:line="480" w:lineRule="exact"/>
        <w:ind w:firstLine="435" w:firstLineChars="0"/>
        <w:textAlignment w:val="auto"/>
        <w:rPr>
          <w:rFonts w:cs="Times New Roman"/>
          <w:color w:val="000000" w:themeColor="text1"/>
          <w:szCs w:val="22"/>
          <w14:textFill>
            <w14:solidFill>
              <w14:schemeClr w14:val="tx1"/>
            </w14:solidFill>
          </w14:textFill>
        </w:rPr>
      </w:pPr>
      <w:r>
        <w:rPr>
          <w:rFonts w:hint="eastAsia" w:cs="Times New Roman"/>
          <w:color w:val="000000" w:themeColor="text1"/>
          <w:szCs w:val="22"/>
          <w14:textFill>
            <w14:solidFill>
              <w14:schemeClr w14:val="tx1"/>
            </w14:solidFill>
          </w14:textFill>
        </w:rPr>
        <w:t>附图7：应急救援疏散图</w:t>
      </w:r>
    </w:p>
    <w:p>
      <w:pPr>
        <w:adjustRightInd/>
        <w:snapToGrid w:val="0"/>
        <w:spacing w:line="480" w:lineRule="exact"/>
        <w:ind w:firstLine="435" w:firstLineChars="0"/>
        <w:textAlignment w:val="auto"/>
        <w:rPr>
          <w:rFonts w:cs="Times New Roman"/>
          <w:color w:val="000000" w:themeColor="text1"/>
          <w14:textFill>
            <w14:solidFill>
              <w14:schemeClr w14:val="tx1"/>
            </w14:solidFill>
          </w14:textFill>
        </w:rPr>
        <w:sectPr>
          <w:headerReference r:id="rId30" w:type="default"/>
          <w:footerReference r:id="rId31" w:type="default"/>
          <w:footerReference r:id="rId32" w:type="even"/>
          <w:type w:val="continuous"/>
          <w:pgSz w:w="11906" w:h="16838"/>
          <w:pgMar w:top="1440" w:right="1800" w:bottom="1440" w:left="1800" w:header="851" w:footer="992" w:gutter="0"/>
          <w:pgNumType w:fmt="upperRoman"/>
          <w:cols w:space="720" w:num="1"/>
          <w:docGrid w:type="lines" w:linePitch="312" w:charSpace="0"/>
        </w:sectPr>
      </w:pPr>
    </w:p>
    <w:p>
      <w:pPr>
        <w:pStyle w:val="17"/>
        <w:rPr>
          <w:color w:val="000000" w:themeColor="text1"/>
          <w14:textFill>
            <w14:solidFill>
              <w14:schemeClr w14:val="tx1"/>
            </w14:solidFill>
          </w14:textFill>
        </w:rPr>
      </w:pPr>
      <w:bookmarkStart w:id="12" w:name="_Toc22955"/>
      <w:bookmarkStart w:id="13" w:name="_Toc43143160"/>
      <w:r>
        <w:rPr>
          <w:color w:val="000000" w:themeColor="text1"/>
          <w14:textFill>
            <w14:solidFill>
              <w14:schemeClr w14:val="tx1"/>
            </w14:solidFill>
          </w14:textFill>
        </w:rPr>
        <w:t>1总则</w:t>
      </w:r>
      <w:bookmarkEnd w:id="12"/>
      <w:bookmarkEnd w:id="13"/>
    </w:p>
    <w:p>
      <w:pPr>
        <w:pStyle w:val="18"/>
        <w:rPr>
          <w:color w:val="000000" w:themeColor="text1"/>
          <w14:textFill>
            <w14:solidFill>
              <w14:schemeClr w14:val="tx1"/>
            </w14:solidFill>
          </w14:textFill>
        </w:rPr>
      </w:pPr>
      <w:bookmarkStart w:id="14" w:name="_Toc43143161"/>
      <w:bookmarkStart w:id="15" w:name="_Toc476"/>
      <w:r>
        <w:rPr>
          <w:color w:val="000000" w:themeColor="text1"/>
          <w14:textFill>
            <w14:solidFill>
              <w14:schemeClr w14:val="tx1"/>
            </w14:solidFill>
          </w14:textFill>
        </w:rPr>
        <w:t>1.1编制目的</w:t>
      </w:r>
      <w:bookmarkEnd w:id="14"/>
      <w:bookmarkEnd w:id="15"/>
    </w:p>
    <w:p>
      <w:pPr>
        <w:ind w:firstLine="560"/>
        <w:rPr>
          <w:color w:val="000000" w:themeColor="text1"/>
          <w14:textFill>
            <w14:solidFill>
              <w14:schemeClr w14:val="tx1"/>
            </w14:solidFill>
          </w14:textFill>
        </w:rPr>
      </w:pPr>
      <w:r>
        <w:rPr>
          <w:color w:val="000000" w:themeColor="text1"/>
          <w14:textFill>
            <w14:solidFill>
              <w14:schemeClr w14:val="tx1"/>
            </w14:solidFill>
          </w14:textFill>
        </w:rPr>
        <w:t>为进一步加强</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环境安全管理，提高尾矿库突发环境事件的应对能力，增加尾矿库企业预警、现场应急处置能力，在建立统一指挥、功能齐全、反应灵敏、运转高效的应急管理体系下，明确应急处置人员的职责、分工，明确预警和处置措施，最大限度地减轻环境污染和生态破坏，通过及时有效的应急救援行动，减少人员伤亡和财产损失，最大限度减少事件的影响；实现</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与地方政府及其相关部门现场处置工作的顺利过渡和有效衔接，特编制本</w:t>
      </w:r>
      <w:r>
        <w:rPr>
          <w:rFonts w:hint="eastAsia"/>
          <w:color w:val="000000" w:themeColor="text1"/>
          <w14:textFill>
            <w14:solidFill>
              <w14:schemeClr w14:val="tx1"/>
            </w14:solidFill>
          </w14:textFill>
        </w:rPr>
        <w:t>“应急</w:t>
      </w:r>
      <w:r>
        <w:rPr>
          <w:color w:val="000000" w:themeColor="text1"/>
          <w14:textFill>
            <w14:solidFill>
              <w14:schemeClr w14:val="tx1"/>
            </w14:solidFill>
          </w14:textFill>
        </w:rPr>
        <w:t>预案</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西双版纳州</w:t>
      </w:r>
      <w:r>
        <w:rPr>
          <w:color w:val="000000" w:themeColor="text1"/>
          <w14:textFill>
            <w14:solidFill>
              <w14:schemeClr w14:val="tx1"/>
            </w14:solidFill>
          </w14:textFill>
        </w:rPr>
        <w:t>生态环境局及相关部门制定</w:t>
      </w:r>
      <w:r>
        <w:rPr>
          <w:rFonts w:hint="eastAsia"/>
          <w:color w:val="000000" w:themeColor="text1"/>
          <w14:textFill>
            <w14:solidFill>
              <w14:schemeClr w14:val="tx1"/>
            </w14:solidFill>
          </w14:textFill>
        </w:rPr>
        <w:t>突发</w:t>
      </w:r>
      <w:r>
        <w:rPr>
          <w:color w:val="000000" w:themeColor="text1"/>
          <w14:textFill>
            <w14:solidFill>
              <w14:schemeClr w14:val="tx1"/>
            </w14:solidFill>
          </w14:textFill>
        </w:rPr>
        <w:t>环境事件应急预案提供支撑。</w:t>
      </w:r>
    </w:p>
    <w:p>
      <w:pPr>
        <w:pStyle w:val="18"/>
        <w:rPr>
          <w:color w:val="000000" w:themeColor="text1"/>
          <w14:textFill>
            <w14:solidFill>
              <w14:schemeClr w14:val="tx1"/>
            </w14:solidFill>
          </w14:textFill>
        </w:rPr>
      </w:pPr>
      <w:bookmarkStart w:id="16" w:name="_Toc43143162"/>
      <w:bookmarkStart w:id="17" w:name="_Toc31040"/>
      <w:r>
        <w:rPr>
          <w:color w:val="000000" w:themeColor="text1"/>
          <w14:textFill>
            <w14:solidFill>
              <w14:schemeClr w14:val="tx1"/>
            </w14:solidFill>
          </w14:textFill>
        </w:rPr>
        <w:t>1.2编制依据</w:t>
      </w:r>
      <w:bookmarkEnd w:id="16"/>
      <w:bookmarkEnd w:id="17"/>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编制依据可参考以下内容（包含但不限于）。各企业在编制过程中，相关依据如有更新应以最新版最准。</w:t>
      </w:r>
    </w:p>
    <w:p>
      <w:pPr>
        <w:pStyle w:val="16"/>
        <w:rPr>
          <w:color w:val="000000" w:themeColor="text1"/>
          <w14:textFill>
            <w14:solidFill>
              <w14:schemeClr w14:val="tx1"/>
            </w14:solidFill>
          </w14:textFill>
        </w:rPr>
      </w:pPr>
      <w:bookmarkStart w:id="18" w:name="_Toc43143163"/>
      <w:bookmarkStart w:id="19" w:name="_Toc31712"/>
      <w:r>
        <w:rPr>
          <w:color w:val="000000" w:themeColor="text1"/>
          <w14:textFill>
            <w14:solidFill>
              <w14:schemeClr w14:val="tx1"/>
            </w14:solidFill>
          </w14:textFill>
        </w:rPr>
        <w:t>1.2.1环保法律、法规及部门规章</w:t>
      </w:r>
      <w:bookmarkEnd w:id="18"/>
      <w:bookmarkEnd w:id="19"/>
    </w:p>
    <w:p>
      <w:pPr>
        <w:ind w:firstLine="560"/>
        <w:rPr>
          <w:color w:val="000000" w:themeColor="text1"/>
          <w14:textFill>
            <w14:solidFill>
              <w14:schemeClr w14:val="tx1"/>
            </w14:solidFill>
          </w14:textFill>
        </w:rPr>
      </w:pPr>
      <w:r>
        <w:rPr>
          <w:color w:val="000000" w:themeColor="text1"/>
          <w14:textFill>
            <w14:solidFill>
              <w14:schemeClr w14:val="tx1"/>
            </w14:solidFill>
          </w14:textFill>
        </w:rPr>
        <w:t>（1）《中华人民共和国环境保护法》（2014年4月24日修订通过，自2015年1月1日起施行）；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（2）《中华人民共和国大气污染防治法》（全国人民代表大会常务委员会，2015年8月25日修订，自2016年1月1日起实施）；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（3）《中华人民共和国水污染防治法》（2017年6月27日修订通过，自2018年1月1日起施行）；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（4）《中华人民共和国固体废物污染环境防治法》（2016年11月7日修订）；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（5）《中华人民共和国突发事件应对法》（中华人民共和国主席令第六十九号，2007年8月30日第十届全国人民代表大会常务委员会第二十九次会议通过，自2007年11月1日起施行）；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（6）《中华人民共和国安全生产法》（中华人民共和国主席令第十三号，自2014年12月1日起施行）；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（7）《国家突发环境事件应急预案》（国办函〔2014〕119号，2014 年12月29日）；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（8）《突发环境事件应急管理办法》（环境保护部令第34号，2015年6月5日实施）；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（9）《突发环境事件信息报告办法》（中华人民共和国环境保护部令第17号，2011年5月1日起施行）；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（10）关于印发《企业突发环境事件风险评估指南（试行）》的通知（环办〔2014〕34号，2014年4月3日）；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（11）关于印发《企业事业单位突发环境事件应急预案评审工作指南（试行）》的通知（环办应急〔2018〕8号，2018年1月30日实施）；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）《企业事业单位突发环境事件应急预案备案管理办法》（环发〔2015〕4号，2015年1月8日）；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）《企业突发环境事件风险分级方法》（HJ941-2018）；</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）《尾矿库环境应急预案编制指南》（环办〔2015〕48号）；</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）《尾矿库环境应急管理工作指南（试行）》（环办〔2010〕138号）；</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）《云南省环境保护厅关于转发企业事业单位突发环境事件应急预案备案管理办法的通知》（云环发〔2015〕39号）；</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7</w:t>
      </w:r>
      <w:r>
        <w:rPr>
          <w:color w:val="000000" w:themeColor="text1"/>
          <w14:textFill>
            <w14:solidFill>
              <w14:schemeClr w14:val="tx1"/>
            </w14:solidFill>
          </w14:textFill>
        </w:rPr>
        <w:t>）《云南省企业单位突发环境事件应急预案指导目录和编制要点》（试行）</w:t>
      </w:r>
      <w:r>
        <w:rPr>
          <w:rFonts w:hint="eastAsia"/>
          <w:color w:val="000000" w:themeColor="text1"/>
          <w14:textFill>
            <w14:solidFill>
              <w14:schemeClr w14:val="tx1"/>
            </w14:solidFill>
          </w14:textFill>
        </w:rPr>
        <w:t>（云环发</w:t>
      </w:r>
      <w:r>
        <w:rPr>
          <w:color w:val="000000" w:themeColor="text1"/>
          <w14:textFill>
            <w14:solidFill>
              <w14:schemeClr w14:val="tx1"/>
            </w14:solidFill>
          </w14:textFill>
        </w:rPr>
        <w:t>〔201</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12</w:t>
      </w:r>
      <w:r>
        <w:rPr>
          <w:color w:val="000000" w:themeColor="text1"/>
          <w14:textFill>
            <w14:solidFill>
              <w14:schemeClr w14:val="tx1"/>
            </w14:solidFill>
          </w14:textFill>
        </w:rPr>
        <w:t>号</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18</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《云南省突发环境事件应急预案》</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云政办</w:t>
      </w:r>
      <w:r>
        <w:rPr>
          <w:color w:val="000000" w:themeColor="text1"/>
          <w14:textFill>
            <w14:solidFill>
              <w14:schemeClr w14:val="tx1"/>
            </w14:solidFill>
          </w14:textFill>
        </w:rPr>
        <w:t>〔201</w:t>
      </w:r>
      <w:r>
        <w:rPr>
          <w:rFonts w:hint="eastAsia"/>
          <w:color w:val="000000" w:themeColor="text1"/>
          <w14:textFill>
            <w14:solidFill>
              <w14:schemeClr w14:val="tx1"/>
            </w14:solidFill>
          </w14:textFill>
        </w:rPr>
        <w:t>7</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62</w:t>
      </w:r>
      <w:r>
        <w:rPr>
          <w:color w:val="000000" w:themeColor="text1"/>
          <w14:textFill>
            <w14:solidFill>
              <w14:schemeClr w14:val="tx1"/>
            </w14:solidFill>
          </w14:textFill>
        </w:rPr>
        <w:t>号）</w:t>
      </w:r>
      <w:r>
        <w:rPr>
          <w:rFonts w:hint="eastAsia"/>
          <w:color w:val="000000" w:themeColor="text1"/>
          <w14:textFill>
            <w14:solidFill>
              <w14:schemeClr w14:val="tx1"/>
            </w14:solidFill>
          </w14:textFill>
        </w:rPr>
        <w:t>；</w:t>
      </w:r>
    </w:p>
    <w:p>
      <w:pPr>
        <w:ind w:firstLine="560"/>
        <w:rPr>
          <w:rFonts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（19）《西双版纳州突发环境事件应急预案》（西政办发</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2019</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32</w:t>
      </w:r>
      <w:r>
        <w:rPr>
          <w:color w:val="000000" w:themeColor="text1"/>
          <w14:textFill>
            <w14:solidFill>
              <w14:schemeClr w14:val="tx1"/>
            </w14:solidFill>
          </w14:textFill>
        </w:rPr>
        <w:t>号</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pStyle w:val="16"/>
        <w:rPr>
          <w:color w:val="000000" w:themeColor="text1"/>
          <w14:textFill>
            <w14:solidFill>
              <w14:schemeClr w14:val="tx1"/>
            </w14:solidFill>
          </w14:textFill>
        </w:rPr>
      </w:pPr>
      <w:bookmarkStart w:id="20" w:name="_Toc20360"/>
      <w:bookmarkStart w:id="21" w:name="_Toc43143164"/>
      <w:r>
        <w:rPr>
          <w:color w:val="000000" w:themeColor="text1"/>
          <w14:textFill>
            <w14:solidFill>
              <w14:schemeClr w14:val="tx1"/>
            </w14:solidFill>
          </w14:textFill>
        </w:rPr>
        <w:t>1.2.2标准及技术规范</w:t>
      </w:r>
      <w:bookmarkEnd w:id="20"/>
      <w:bookmarkEnd w:id="21"/>
    </w:p>
    <w:p>
      <w:pPr>
        <w:ind w:firstLine="560"/>
        <w:rPr>
          <w:color w:val="000000" w:themeColor="text1"/>
          <w14:textFill>
            <w14:solidFill>
              <w14:schemeClr w14:val="tx1"/>
            </w14:solidFill>
          </w14:textFill>
        </w:rPr>
      </w:pPr>
      <w:r>
        <w:rPr>
          <w:color w:val="000000" w:themeColor="text1"/>
          <w14:textFill>
            <w14:solidFill>
              <w14:schemeClr w14:val="tx1"/>
            </w14:solidFill>
          </w14:textFill>
        </w:rPr>
        <w:t>（1）《环境影响评价技术导则大气环境》（HJ 2.2-2018）；</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（2）《环境影响评价技术导则地面水环境》（HJ/T 2.3-2018）；</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（3）《环境影响评价技术导则地下水环境》（HJ610-2016）；</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（4）《环境影响评价技术导则生态影响》（HJ 19-2011）；</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（5）《建设项目环境风险评价技术导则》（HJ 169-2018）；</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（6）《固体废物鉴别标准通则》（GB 34330-2017）；</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）《地表水环境质量标准》（GB 3838-2002）；</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）《地下水质量标准》（GB/T 14848-2017）；</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）《环境空气质量标准》（GB 3095-2012）；</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）《土壤环境质量农用地土壤污染风险管控标准（试行）》（GB 15618-2018）；</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）《土壤环境质量建设用地土壤污染风险管控标准（试行）》（GB 36600-2018）；</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）《污水综合排放标准》（GB 8978-1996）</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）《突发环境事件应急监测技术规范》（HJ 589-2010）；</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）《尾矿库环境风险评估技术导则（试行）》（HJ 740-2015）；</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）《尾矿库设施设计规范》（GB 50863-2013）；</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7</w:t>
      </w:r>
      <w:r>
        <w:rPr>
          <w:color w:val="000000" w:themeColor="text1"/>
          <w14:textFill>
            <w14:solidFill>
              <w14:schemeClr w14:val="tx1"/>
            </w14:solidFill>
          </w14:textFill>
        </w:rPr>
        <w:t>）《尾矿设施施工及验收规范》（GB 50864-2013）；</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）《尾矿库安全技术规程》（AQ 2006-2005）；</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19</w:t>
      </w:r>
      <w:r>
        <w:rPr>
          <w:color w:val="000000" w:themeColor="text1"/>
          <w14:textFill>
            <w14:solidFill>
              <w14:schemeClr w14:val="tx1"/>
            </w14:solidFill>
          </w14:textFill>
        </w:rPr>
        <w:t>）《地址灾害危险性评估技术要求（试行）》（国土资发〔2004〕69号）；</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）《地表水和污水监测技术规范》（HJ/T 91-2002）；</w:t>
      </w:r>
    </w:p>
    <w:p>
      <w:pPr>
        <w:ind w:firstLine="560"/>
        <w:rPr>
          <w:rFonts w:cs="Times New Roman"/>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）《地下水</w:t>
      </w:r>
      <w:r>
        <w:rPr>
          <w:rFonts w:hint="eastAsia"/>
          <w:color w:val="000000" w:themeColor="text1"/>
          <w14:textFill>
            <w14:solidFill>
              <w14:schemeClr w14:val="tx1"/>
            </w14:solidFill>
          </w14:textFill>
        </w:rPr>
        <w:t>环境</w:t>
      </w:r>
      <w:r>
        <w:rPr>
          <w:color w:val="000000" w:themeColor="text1"/>
          <w14:textFill>
            <w14:solidFill>
              <w14:schemeClr w14:val="tx1"/>
            </w14:solidFill>
          </w14:textFill>
        </w:rPr>
        <w:t>监测技术规范》（HJ/T 164-2004）。</w:t>
      </w:r>
    </w:p>
    <w:p>
      <w:pPr>
        <w:pStyle w:val="16"/>
        <w:rPr>
          <w:color w:val="000000" w:themeColor="text1"/>
          <w14:textFill>
            <w14:solidFill>
              <w14:schemeClr w14:val="tx1"/>
            </w14:solidFill>
          </w14:textFill>
        </w:rPr>
      </w:pPr>
      <w:bookmarkStart w:id="22" w:name="_Toc16421"/>
      <w:bookmarkStart w:id="23" w:name="_Toc43143165"/>
      <w:r>
        <w:rPr>
          <w:color w:val="000000" w:themeColor="text1"/>
          <w14:textFill>
            <w14:solidFill>
              <w14:schemeClr w14:val="tx1"/>
            </w14:solidFill>
          </w14:textFill>
        </w:rPr>
        <w:t>1.2.3</w:t>
      </w:r>
      <w:r>
        <w:rPr>
          <w:rFonts w:hint="eastAsia"/>
          <w:color w:val="000000" w:themeColor="text1"/>
          <w14:textFill>
            <w14:solidFill>
              <w14:schemeClr w14:val="tx1"/>
            </w14:solidFill>
          </w14:textFill>
        </w:rPr>
        <w:t>公司内部资料和</w:t>
      </w:r>
      <w:r>
        <w:rPr>
          <w:color w:val="000000" w:themeColor="text1"/>
          <w14:textFill>
            <w14:solidFill>
              <w14:schemeClr w14:val="tx1"/>
            </w14:solidFill>
          </w14:textFill>
        </w:rPr>
        <w:t>相关文件</w:t>
      </w:r>
      <w:bookmarkEnd w:id="22"/>
      <w:bookmarkEnd w:id="23"/>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云南安宁泰源工贸集团有限公司景洪分公司曼南坎铁矿尾矿干排技改项目</w:t>
      </w:r>
      <w:r>
        <w:rPr>
          <w:color w:val="000000" w:themeColor="text1"/>
          <w14:textFill>
            <w14:solidFill>
              <w14:schemeClr w14:val="tx1"/>
            </w14:solidFill>
          </w14:textFill>
        </w:rPr>
        <w:t>环境影响报告书》（</w:t>
      </w:r>
      <w:r>
        <w:rPr>
          <w:rFonts w:hint="eastAsia"/>
          <w:color w:val="000000" w:themeColor="text1"/>
          <w14:textFill>
            <w14:solidFill>
              <w14:schemeClr w14:val="tx1"/>
            </w14:solidFill>
          </w14:textFill>
        </w:rPr>
        <w:t>太原核清环境工程设计有限</w:t>
      </w:r>
      <w:r>
        <w:rPr>
          <w:color w:val="000000" w:themeColor="text1"/>
          <w14:textFill>
            <w14:solidFill>
              <w14:schemeClr w14:val="tx1"/>
            </w14:solidFill>
          </w14:textFill>
        </w:rPr>
        <w:t>公司</w:t>
      </w:r>
      <w:r>
        <w:rPr>
          <w:rFonts w:hint="eastAsia"/>
          <w:color w:val="000000" w:themeColor="text1"/>
          <w14:textFill>
            <w14:solidFill>
              <w14:schemeClr w14:val="tx1"/>
            </w14:solidFill>
          </w14:textFill>
        </w:rPr>
        <w:t>、西双版纳傣族自治州环境科学研究院，2011</w:t>
      </w:r>
      <w:r>
        <w:rPr>
          <w:color w:val="000000" w:themeColor="text1"/>
          <w14:textFill>
            <w14:solidFill>
              <w14:schemeClr w14:val="tx1"/>
            </w14:solidFill>
          </w14:textFill>
        </w:rPr>
        <w:t>年</w:t>
      </w:r>
      <w:r>
        <w:rPr>
          <w:rFonts w:hint="eastAsia"/>
          <w:color w:val="000000" w:themeColor="text1"/>
          <w14:textFill>
            <w14:solidFill>
              <w14:schemeClr w14:val="tx1"/>
            </w14:solidFill>
          </w14:textFill>
        </w:rPr>
        <w:t>08</w:t>
      </w:r>
      <w:r>
        <w:rPr>
          <w:color w:val="000000" w:themeColor="text1"/>
          <w14:textFill>
            <w14:solidFill>
              <w14:schemeClr w14:val="tx1"/>
            </w14:solidFill>
          </w14:textFill>
        </w:rPr>
        <w:t>月）；</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（2）《西双版纳州环保局关于云南安宁泰源工贸集团有限公司景洪分公司曼南坎铁矿尾矿干排建设项目</w:t>
      </w:r>
      <w:r>
        <w:rPr>
          <w:color w:val="000000" w:themeColor="text1"/>
          <w14:textFill>
            <w14:solidFill>
              <w14:schemeClr w14:val="tx1"/>
            </w14:solidFill>
          </w14:textFill>
        </w:rPr>
        <w:t>环境影响</w:t>
      </w:r>
      <w:r>
        <w:rPr>
          <w:rFonts w:hint="eastAsia"/>
          <w:color w:val="000000" w:themeColor="text1"/>
          <w14:textFill>
            <w14:solidFill>
              <w14:schemeClr w14:val="tx1"/>
            </w14:solidFill>
          </w14:textFill>
        </w:rPr>
        <w:t>报告书重新审核的意见》（西环发〔2017〕7号，2017年10月30日）；</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云南安宁泰源工贸集团有限公司景洪分公司尾矿干排工程初步设计说明书（代可研）</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昆明冶金研究院</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（4）《景洪曼南坎铁矿选厂尾矿坝加高工程方案设计》（昆明有色冶金设计研究院，2008年03月）；</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景洪曼南坎铁矿选厂尾矿回采工程尾矿库工程地质勘察报告</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西南有色昆明勘测设计（院）股份有限公司，2012</w:t>
      </w:r>
      <w:r>
        <w:rPr>
          <w:color w:val="000000" w:themeColor="text1"/>
          <w14:textFill>
            <w14:solidFill>
              <w14:schemeClr w14:val="tx1"/>
            </w14:solidFill>
          </w14:textFill>
        </w:rPr>
        <w:t>年</w:t>
      </w:r>
      <w:r>
        <w:rPr>
          <w:rFonts w:hint="eastAsia"/>
          <w:color w:val="000000" w:themeColor="text1"/>
          <w14:textFill>
            <w14:solidFill>
              <w14:schemeClr w14:val="tx1"/>
            </w14:solidFill>
          </w14:textFill>
        </w:rPr>
        <w:t>03</w:t>
      </w:r>
      <w:r>
        <w:rPr>
          <w:color w:val="000000" w:themeColor="text1"/>
          <w14:textFill>
            <w14:solidFill>
              <w14:schemeClr w14:val="tx1"/>
            </w14:solidFill>
          </w14:textFill>
        </w:rPr>
        <w:t>月）；</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安宁泰源工贸有限责任公司景洪曼南坎铁矿尾矿干排项目水土保持方案初步设计报告书</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昆明龙慧工程设计咨询有限公司</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现场调查资料及其他相关资料等。</w:t>
      </w:r>
    </w:p>
    <w:p>
      <w:pPr>
        <w:pStyle w:val="18"/>
        <w:rPr>
          <w:color w:val="000000" w:themeColor="text1"/>
          <w14:textFill>
            <w14:solidFill>
              <w14:schemeClr w14:val="tx1"/>
            </w14:solidFill>
          </w14:textFill>
        </w:rPr>
      </w:pPr>
      <w:bookmarkStart w:id="24" w:name="_Toc43143166"/>
      <w:bookmarkStart w:id="25" w:name="_Toc28934"/>
      <w:r>
        <w:rPr>
          <w:color w:val="000000" w:themeColor="text1"/>
          <w14:textFill>
            <w14:solidFill>
              <w14:schemeClr w14:val="tx1"/>
            </w14:solidFill>
          </w14:textFill>
        </w:rPr>
        <w:t>1.3适用范围</w:t>
      </w:r>
      <w:bookmarkEnd w:id="24"/>
      <w:bookmarkEnd w:id="25"/>
    </w:p>
    <w:p>
      <w:pPr>
        <w:ind w:firstLine="560"/>
        <w:rPr>
          <w:color w:val="000000" w:themeColor="text1"/>
          <w14:textFill>
            <w14:solidFill>
              <w14:schemeClr w14:val="tx1"/>
            </w14:solidFill>
          </w14:textFill>
        </w:rPr>
      </w:pPr>
      <w:r>
        <w:rPr>
          <w:color w:val="000000" w:themeColor="text1"/>
          <w14:textFill>
            <w14:solidFill>
              <w14:schemeClr w14:val="tx1"/>
            </w14:solidFill>
          </w14:textFill>
        </w:rPr>
        <w:t>本</w:t>
      </w:r>
      <w:r>
        <w:rPr>
          <w:rFonts w:hint="eastAsia"/>
          <w:color w:val="000000" w:themeColor="text1"/>
          <w14:textFill>
            <w14:solidFill>
              <w14:schemeClr w14:val="tx1"/>
            </w14:solidFill>
          </w14:textFill>
        </w:rPr>
        <w:t>“应急</w:t>
      </w:r>
      <w:r>
        <w:rPr>
          <w:color w:val="000000" w:themeColor="text1"/>
          <w14:textFill>
            <w14:solidFill>
              <w14:schemeClr w14:val="tx1"/>
            </w14:solidFill>
          </w14:textFill>
        </w:rPr>
        <w:t>预案</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适用于</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尾矿库在生产、运行过程中发生或可能发生突发环境事件的预警、报告、处置、应急监测和应急终止等工作。可能发生的突发环境事件情景包括：</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（1）尾矿砂浆外泄情景（管涌、坝体损坏、排水系统堵塞或坍塌等原因引起）；</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（2）尾矿水超标外排情景（沉淀池溢流引起）；</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（3）尾矿库渗滤液溢出外排情景；</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尾矿输送管线泄漏情景；</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）回水管线泄漏情景；</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尾矿库渗漏情景；</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（7）尾矿库溃坝情景等。</w:t>
      </w:r>
    </w:p>
    <w:p>
      <w:pPr>
        <w:pStyle w:val="18"/>
        <w:rPr>
          <w:color w:val="000000" w:themeColor="text1"/>
          <w14:textFill>
            <w14:solidFill>
              <w14:schemeClr w14:val="tx1"/>
            </w14:solidFill>
          </w14:textFill>
        </w:rPr>
      </w:pPr>
      <w:bookmarkStart w:id="26" w:name="_Toc17898"/>
      <w:bookmarkStart w:id="27" w:name="_Toc43143167"/>
      <w:bookmarkStart w:id="28" w:name="_Toc477273014"/>
      <w:r>
        <w:rPr>
          <w:color w:val="000000" w:themeColor="text1"/>
          <w14:textFill>
            <w14:solidFill>
              <w14:schemeClr w14:val="tx1"/>
            </w14:solidFill>
          </w14:textFill>
        </w:rPr>
        <w:t>1.4事件分级</w:t>
      </w:r>
      <w:bookmarkEnd w:id="26"/>
      <w:bookmarkEnd w:id="27"/>
    </w:p>
    <w:p>
      <w:pPr>
        <w:ind w:firstLine="0" w:firstLineChars="0"/>
        <w:rPr>
          <w:b/>
          <w:color w:val="000000" w:themeColor="text1"/>
          <w14:textFill>
            <w14:solidFill>
              <w14:schemeClr w14:val="tx1"/>
            </w14:solidFill>
          </w14:textFill>
        </w:rPr>
      </w:pPr>
      <w:r>
        <w:rPr>
          <w:rFonts w:hint="eastAsia"/>
          <w:b/>
          <w:color w:val="000000" w:themeColor="text1"/>
          <w14:textFill>
            <w14:solidFill>
              <w14:schemeClr w14:val="tx1"/>
            </w14:solidFill>
          </w14:textFill>
        </w:rPr>
        <w:t>1.4.1本预案突发环境事件分级原则</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通过对主要风险区域：尾矿库及选矿厂周围可能存在的突发环境事件分析，并结合实际情况，按事件严重程度和应对处置能力，本突发环境事件分为Ⅲ级：</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①一般突发环境事件（公司车间班组级）：Ⅲ级事件</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不影响生产的事故：依靠班组技术力量，符合相关操作规程能够处理的故障，涉及的相关事宜按安全生产管理办法处理。如矿井渗水处理设备故障轻微超标排放、微漏等事故，可通过检修设备、更换管道等来处理。但在处理过程中需向相关部门汇报。</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②较大突发环境事件（公司级）：Ⅱ级事件</w:t>
      </w:r>
    </w:p>
    <w:p>
      <w:pPr>
        <w:pStyle w:val="45"/>
        <w:ind w:firstLine="560"/>
        <w:rPr>
          <w:rFonts w:ascii="Times New Roman" w:hAnsi="Times New Roman"/>
          <w:color w:val="000000" w:themeColor="text1"/>
          <w14:textFill>
            <w14:solidFill>
              <w14:schemeClr w14:val="tx1"/>
            </w14:solidFill>
          </w14:textFill>
        </w:rPr>
      </w:pPr>
      <w:r>
        <w:rPr>
          <w:rFonts w:hint="eastAsia" w:ascii="Times New Roman" w:hAnsi="Times New Roman" w:eastAsia="仿宋"/>
          <w:color w:val="000000" w:themeColor="text1"/>
          <w:sz w:val="28"/>
          <w:szCs w:val="28"/>
          <w14:textFill>
            <w14:solidFill>
              <w14:schemeClr w14:val="tx1"/>
            </w14:solidFill>
          </w14:textFill>
        </w:rPr>
        <w:t>对生产影响较小，依靠公司技术力量能够处理的事故。如环保设施故障、管道泄漏但在可控范围等</w:t>
      </w:r>
      <w:r>
        <w:rPr>
          <w:rFonts w:hint="eastAsia" w:ascii="Times New Roman" w:hAnsi="Times New Roman" w:eastAsia="仿宋"/>
          <w:color w:val="000000" w:themeColor="text1"/>
          <w:sz w:val="28"/>
          <w:szCs w:val="28"/>
          <w:lang w:val="en-US" w:eastAsia="zh-CN"/>
          <w14:textFill>
            <w14:solidFill>
              <w14:schemeClr w14:val="tx1"/>
            </w14:solidFill>
          </w14:textFill>
        </w:rPr>
        <w:t>的</w:t>
      </w:r>
      <w:r>
        <w:rPr>
          <w:rFonts w:hint="eastAsia" w:ascii="Times New Roman" w:hAnsi="Times New Roman" w:eastAsia="仿宋"/>
          <w:color w:val="000000" w:themeColor="text1"/>
          <w:sz w:val="28"/>
          <w:szCs w:val="28"/>
          <w14:textFill>
            <w14:solidFill>
              <w14:schemeClr w14:val="tx1"/>
            </w14:solidFill>
          </w14:textFill>
        </w:rPr>
        <w:t>一般事故，但在处理过程中必须遵循汇报原则。</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③重大突发环境事件（公司外部级）：I级事件</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影响生产重大严重威胁着</w:t>
      </w:r>
      <w:r>
        <w:rPr>
          <w:rFonts w:hint="eastAsia"/>
          <w:color w:val="000000" w:themeColor="text1"/>
          <w:szCs w:val="28"/>
          <w:lang w:val="en-US" w:eastAsia="zh-CN"/>
          <w14:textFill>
            <w14:solidFill>
              <w14:schemeClr w14:val="tx1"/>
            </w14:solidFill>
          </w14:textFill>
        </w:rPr>
        <w:t>尾矿库</w:t>
      </w:r>
      <w:r>
        <w:rPr>
          <w:color w:val="000000" w:themeColor="text1"/>
          <w:szCs w:val="28"/>
          <w14:textFill>
            <w14:solidFill>
              <w14:schemeClr w14:val="tx1"/>
            </w14:solidFill>
          </w14:textFill>
        </w:rPr>
        <w:t>周边生态环境，如</w:t>
      </w:r>
      <w:r>
        <w:rPr>
          <w:rFonts w:hint="eastAsia"/>
          <w:color w:val="000000" w:themeColor="text1"/>
          <w:szCs w:val="28"/>
          <w14:textFill>
            <w14:solidFill>
              <w14:schemeClr w14:val="tx1"/>
            </w14:solidFill>
          </w14:textFill>
        </w:rPr>
        <w:t>尾矿库溃坝等</w:t>
      </w:r>
      <w:r>
        <w:rPr>
          <w:color w:val="000000" w:themeColor="text1"/>
          <w:szCs w:val="28"/>
          <w14:textFill>
            <w14:solidFill>
              <w14:schemeClr w14:val="tx1"/>
            </w14:solidFill>
          </w14:textFill>
        </w:rPr>
        <w:t>造成30人以上死亡或造成直接经济损失1亿元以上的重大突发环境事件，或需要更高级别应急响应的事件。</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当以上分级标准不能适应所发生的突发环境事件时，参照国家突发环境事件分级标准。</w:t>
      </w:r>
    </w:p>
    <w:p>
      <w:pPr>
        <w:pStyle w:val="30"/>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1.4.2</w:t>
      </w:r>
      <w:r>
        <w:rPr>
          <w:b/>
          <w:color w:val="000000" w:themeColor="text1"/>
          <w:szCs w:val="30"/>
          <w14:textFill>
            <w14:solidFill>
              <w14:schemeClr w14:val="tx1"/>
            </w14:solidFill>
          </w14:textFill>
        </w:rPr>
        <w:t>国家突发环境事件分级级别</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根据《国家突发环境事件应急预案》，突发环境事件分为特别重大环境事件（I级）、重大环境事件（II级）、较大环境事件（III级）和一般环境事件（IV级）共四级，具体划分见表1.4-1。</w:t>
      </w:r>
    </w:p>
    <w:p>
      <w:pPr>
        <w:snapToGrid w:val="0"/>
        <w:spacing w:before="381" w:beforeLines="100"/>
        <w:ind w:firstLine="0" w:firstLineChars="0"/>
        <w:jc w:val="center"/>
        <w:rPr>
          <w:rFonts w:cs="Times New Roman"/>
          <w:b/>
          <w:bCs/>
          <w:color w:val="000000" w:themeColor="text1"/>
          <w:sz w:val="24"/>
          <w:szCs w:val="22"/>
          <w14:textFill>
            <w14:solidFill>
              <w14:schemeClr w14:val="tx1"/>
            </w14:solidFill>
          </w14:textFill>
        </w:rPr>
      </w:pPr>
      <w:r>
        <w:rPr>
          <w:rFonts w:cs="Times New Roman"/>
          <w:b/>
          <w:bCs/>
          <w:color w:val="000000" w:themeColor="text1"/>
          <w:sz w:val="24"/>
          <w:szCs w:val="22"/>
          <w14:textFill>
            <w14:solidFill>
              <w14:schemeClr w14:val="tx1"/>
            </w14:solidFill>
          </w14:textFill>
        </w:rPr>
        <w:t>表1.4-1 突发环境事件分级原则表</w:t>
      </w:r>
    </w:p>
    <w:tbl>
      <w:tblPr>
        <w:tblStyle w:val="31"/>
        <w:tblW w:w="0" w:type="auto"/>
        <w:jc w:val="center"/>
        <w:tblLayout w:type="fixed"/>
        <w:tblCellMar>
          <w:top w:w="0" w:type="dxa"/>
          <w:left w:w="108" w:type="dxa"/>
          <w:bottom w:w="0" w:type="dxa"/>
          <w:right w:w="108" w:type="dxa"/>
        </w:tblCellMar>
      </w:tblPr>
      <w:tblGrid>
        <w:gridCol w:w="1952"/>
        <w:gridCol w:w="1936"/>
        <w:gridCol w:w="1767"/>
        <w:gridCol w:w="1767"/>
        <w:gridCol w:w="1546"/>
      </w:tblGrid>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b/>
                <w:bCs/>
                <w:color w:val="000000" w:themeColor="text1"/>
                <w:sz w:val="22"/>
                <w:szCs w:val="22"/>
                <w14:textFill>
                  <w14:solidFill>
                    <w14:schemeClr w14:val="tx1"/>
                  </w14:solidFill>
                </w14:textFill>
              </w:rPr>
            </w:pPr>
            <w:r>
              <w:rPr>
                <w:rFonts w:cs="Times New Roman"/>
                <w:b/>
                <w:bCs/>
                <w:color w:val="000000" w:themeColor="text1"/>
                <w:sz w:val="22"/>
                <w:szCs w:val="22"/>
                <w14:textFill>
                  <w14:solidFill>
                    <w14:schemeClr w14:val="tx1"/>
                  </w14:solidFill>
                </w14:textFill>
              </w:rPr>
              <w:t>判断标准</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b/>
                <w:bCs/>
                <w:color w:val="000000" w:themeColor="text1"/>
                <w:sz w:val="22"/>
                <w:szCs w:val="22"/>
                <w14:textFill>
                  <w14:solidFill>
                    <w14:schemeClr w14:val="tx1"/>
                  </w14:solidFill>
                </w14:textFill>
              </w:rPr>
            </w:pPr>
            <w:r>
              <w:rPr>
                <w:rFonts w:cs="Times New Roman"/>
                <w:b/>
                <w:bCs/>
                <w:color w:val="000000" w:themeColor="text1"/>
                <w:sz w:val="22"/>
                <w:szCs w:val="22"/>
                <w14:textFill>
                  <w14:solidFill>
                    <w14:schemeClr w14:val="tx1"/>
                  </w14:solidFill>
                </w14:textFill>
              </w:rPr>
              <w:t>I级</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b/>
                <w:bCs/>
                <w:color w:val="000000" w:themeColor="text1"/>
                <w:sz w:val="22"/>
                <w:szCs w:val="22"/>
                <w14:textFill>
                  <w14:solidFill>
                    <w14:schemeClr w14:val="tx1"/>
                  </w14:solidFill>
                </w14:textFill>
              </w:rPr>
            </w:pPr>
            <w:r>
              <w:rPr>
                <w:rFonts w:cs="Times New Roman"/>
                <w:b/>
                <w:bCs/>
                <w:color w:val="000000" w:themeColor="text1"/>
                <w:sz w:val="22"/>
                <w:szCs w:val="22"/>
                <w14:textFill>
                  <w14:solidFill>
                    <w14:schemeClr w14:val="tx1"/>
                  </w14:solidFill>
                </w14:textFill>
              </w:rPr>
              <w:t>II级</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b/>
                <w:bCs/>
                <w:color w:val="000000" w:themeColor="text1"/>
                <w:sz w:val="22"/>
                <w:szCs w:val="22"/>
                <w14:textFill>
                  <w14:solidFill>
                    <w14:schemeClr w14:val="tx1"/>
                  </w14:solidFill>
                </w14:textFill>
              </w:rPr>
            </w:pPr>
            <w:r>
              <w:rPr>
                <w:rFonts w:cs="Times New Roman"/>
                <w:b/>
                <w:bCs/>
                <w:color w:val="000000" w:themeColor="text1"/>
                <w:sz w:val="22"/>
                <w:szCs w:val="22"/>
                <w14:textFill>
                  <w14:solidFill>
                    <w14:schemeClr w14:val="tx1"/>
                  </w14:solidFill>
                </w14:textFill>
              </w:rPr>
              <w:t>III级</w:t>
            </w: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b/>
                <w:bCs/>
                <w:color w:val="000000" w:themeColor="text1"/>
                <w:sz w:val="22"/>
                <w:szCs w:val="22"/>
                <w14:textFill>
                  <w14:solidFill>
                    <w14:schemeClr w14:val="tx1"/>
                  </w14:solidFill>
                </w14:textFill>
              </w:rPr>
            </w:pPr>
            <w:r>
              <w:rPr>
                <w:rFonts w:cs="Times New Roman"/>
                <w:b/>
                <w:bCs/>
                <w:color w:val="000000" w:themeColor="text1"/>
                <w:sz w:val="22"/>
                <w:szCs w:val="22"/>
                <w14:textFill>
                  <w14:solidFill>
                    <w14:schemeClr w14:val="tx1"/>
                  </w14:solidFill>
                </w14:textFill>
              </w:rPr>
              <w:t>IV级</w:t>
            </w: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事故死亡人数</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30人以上</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10人以上，30人以下</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3人以上，10人以下</w:t>
            </w: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3人以下</w:t>
            </w: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事故中毒（重伤）人数</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100人以上</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50人以上，100人以下</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50人以下</w:t>
            </w: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需疏散、转移群众</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5万人以上</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1万人以上，5万人以下</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直接经济损失</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1000万元以上</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区域生态功能</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严重丧失</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部分丧失</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濒危物种生存环境</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遭到严重污染</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受到污染</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当地经济、社会活动</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受到严重影响</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受到较大影响</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放射性物质</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利用放射性物质进行人为破坏事件，或1、2类放射源失控造成大范围严重辐射污染后果</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1、2类放射源丢失、被盗或失控</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3类放射源丢失、被盗或失控</w:t>
            </w: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4、5类放射源丢失、被盗或失控</w:t>
            </w: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水源</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重要城市主要水源地取水中断</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重要河流、湖泊、水库及沿海水域大面积污染，或县级以上城镇水源地取水中断</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危化品</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危险化学品（含剧毒品）生产和贮存中发生泄漏，严重影响人民群众生产、生活</w:t>
            </w: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454" w:hRule="atLeast"/>
          <w:jc w:val="center"/>
        </w:trPr>
        <w:tc>
          <w:tcPr>
            <w:tcW w:w="1952"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纠纷</w:t>
            </w:r>
          </w:p>
        </w:tc>
        <w:tc>
          <w:tcPr>
            <w:tcW w:w="193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p>
        </w:tc>
        <w:tc>
          <w:tcPr>
            <w:tcW w:w="1767"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造成跨地级行政区域纠纷，使当地经济、社会活动受到影响</w:t>
            </w:r>
          </w:p>
        </w:tc>
        <w:tc>
          <w:tcPr>
            <w:tcW w:w="1546" w:type="dxa"/>
            <w:tcBorders>
              <w:top w:val="single" w:color="auto" w:sz="4" w:space="0"/>
              <w:left w:val="nil"/>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造成跨县级行政区域纠纷，引起一般群体性影响</w:t>
            </w:r>
          </w:p>
        </w:tc>
      </w:tr>
      <w:tr>
        <w:tblPrEx>
          <w:tblCellMar>
            <w:top w:w="0" w:type="dxa"/>
            <w:left w:w="108" w:type="dxa"/>
            <w:bottom w:w="0" w:type="dxa"/>
            <w:right w:w="108" w:type="dxa"/>
          </w:tblCellMar>
        </w:tblPrEx>
        <w:trPr>
          <w:trHeight w:val="454" w:hRule="atLeast"/>
          <w:jc w:val="center"/>
        </w:trPr>
        <w:tc>
          <w:tcPr>
            <w:tcW w:w="8968" w:type="dxa"/>
            <w:gridSpan w:val="5"/>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ind w:firstLine="0" w:firstLineChars="0"/>
              <w:jc w:val="center"/>
              <w:rPr>
                <w:rFonts w:cs="Times New Roman"/>
                <w:color w:val="000000" w:themeColor="text1"/>
                <w:sz w:val="22"/>
                <w:szCs w:val="22"/>
                <w14:textFill>
                  <w14:solidFill>
                    <w14:schemeClr w14:val="tx1"/>
                  </w14:solidFill>
                </w14:textFill>
              </w:rPr>
            </w:pPr>
            <w:r>
              <w:rPr>
                <w:rFonts w:cs="Times New Roman"/>
                <w:color w:val="000000" w:themeColor="text1"/>
                <w:sz w:val="22"/>
                <w:szCs w:val="22"/>
                <w14:textFill>
                  <w14:solidFill>
                    <w14:schemeClr w14:val="tx1"/>
                  </w14:solidFill>
                </w14:textFill>
              </w:rPr>
              <w:t>说明：以上含</w:t>
            </w:r>
            <w:r>
              <w:rPr>
                <w:rFonts w:hint="eastAsia" w:cs="Times New Roman"/>
                <w:color w:val="000000" w:themeColor="text1"/>
                <w:sz w:val="22"/>
                <w:szCs w:val="22"/>
                <w14:textFill>
                  <w14:solidFill>
                    <w14:schemeClr w14:val="tx1"/>
                  </w14:solidFill>
                </w14:textFill>
              </w:rPr>
              <w:t>“</w:t>
            </w:r>
            <w:r>
              <w:rPr>
                <w:rFonts w:cs="Times New Roman"/>
                <w:color w:val="000000" w:themeColor="text1"/>
                <w:sz w:val="22"/>
                <w:szCs w:val="22"/>
                <w14:textFill>
                  <w14:solidFill>
                    <w14:schemeClr w14:val="tx1"/>
                  </w14:solidFill>
                </w14:textFill>
              </w:rPr>
              <w:t>本数</w:t>
            </w:r>
            <w:r>
              <w:rPr>
                <w:rFonts w:hint="eastAsia" w:cs="Times New Roman"/>
                <w:color w:val="000000" w:themeColor="text1"/>
                <w:sz w:val="22"/>
                <w:szCs w:val="22"/>
                <w14:textFill>
                  <w14:solidFill>
                    <w14:schemeClr w14:val="tx1"/>
                  </w14:solidFill>
                </w14:textFill>
              </w:rPr>
              <w:t>”</w:t>
            </w:r>
            <w:r>
              <w:rPr>
                <w:rFonts w:cs="Times New Roman"/>
                <w:color w:val="000000" w:themeColor="text1"/>
                <w:sz w:val="22"/>
                <w:szCs w:val="22"/>
                <w14:textFill>
                  <w14:solidFill>
                    <w14:schemeClr w14:val="tx1"/>
                  </w14:solidFill>
                </w14:textFill>
              </w:rPr>
              <w:t>，以下不含</w:t>
            </w:r>
            <w:r>
              <w:rPr>
                <w:rFonts w:hint="eastAsia" w:cs="Times New Roman"/>
                <w:color w:val="000000" w:themeColor="text1"/>
                <w:sz w:val="22"/>
                <w:szCs w:val="22"/>
                <w14:textFill>
                  <w14:solidFill>
                    <w14:schemeClr w14:val="tx1"/>
                  </w14:solidFill>
                </w14:textFill>
              </w:rPr>
              <w:t>“</w:t>
            </w:r>
            <w:r>
              <w:rPr>
                <w:rFonts w:cs="Times New Roman"/>
                <w:color w:val="000000" w:themeColor="text1"/>
                <w:sz w:val="22"/>
                <w:szCs w:val="22"/>
                <w14:textFill>
                  <w14:solidFill>
                    <w14:schemeClr w14:val="tx1"/>
                  </w14:solidFill>
                </w14:textFill>
              </w:rPr>
              <w:t>本数</w:t>
            </w:r>
            <w:r>
              <w:rPr>
                <w:rFonts w:hint="eastAsia" w:cs="Times New Roman"/>
                <w:color w:val="000000" w:themeColor="text1"/>
                <w:sz w:val="22"/>
                <w:szCs w:val="22"/>
                <w14:textFill>
                  <w14:solidFill>
                    <w14:schemeClr w14:val="tx1"/>
                  </w14:solidFill>
                </w14:textFill>
              </w:rPr>
              <w:t>”</w:t>
            </w:r>
            <w:r>
              <w:rPr>
                <w:rFonts w:cs="Times New Roman"/>
                <w:color w:val="000000" w:themeColor="text1"/>
                <w:sz w:val="22"/>
                <w:szCs w:val="22"/>
                <w14:textFill>
                  <w14:solidFill>
                    <w14:schemeClr w14:val="tx1"/>
                  </w14:solidFill>
                </w14:textFill>
              </w:rPr>
              <w:t>，各判断条件为</w:t>
            </w:r>
            <w:r>
              <w:rPr>
                <w:rFonts w:hint="eastAsia" w:cs="Times New Roman"/>
                <w:color w:val="000000" w:themeColor="text1"/>
                <w:sz w:val="22"/>
                <w:szCs w:val="22"/>
                <w14:textFill>
                  <w14:solidFill>
                    <w14:schemeClr w14:val="tx1"/>
                  </w14:solidFill>
                </w14:textFill>
              </w:rPr>
              <w:t>“</w:t>
            </w:r>
            <w:r>
              <w:rPr>
                <w:rFonts w:cs="Times New Roman"/>
                <w:color w:val="000000" w:themeColor="text1"/>
                <w:sz w:val="22"/>
                <w:szCs w:val="22"/>
                <w14:textFill>
                  <w14:solidFill>
                    <w14:schemeClr w14:val="tx1"/>
                  </w14:solidFill>
                </w14:textFill>
              </w:rPr>
              <w:t>或</w:t>
            </w:r>
            <w:r>
              <w:rPr>
                <w:rFonts w:hint="eastAsia" w:cs="Times New Roman"/>
                <w:color w:val="000000" w:themeColor="text1"/>
                <w:sz w:val="22"/>
                <w:szCs w:val="22"/>
                <w14:textFill>
                  <w14:solidFill>
                    <w14:schemeClr w14:val="tx1"/>
                  </w14:solidFill>
                </w14:textFill>
              </w:rPr>
              <w:t>”</w:t>
            </w:r>
            <w:r>
              <w:rPr>
                <w:rFonts w:cs="Times New Roman"/>
                <w:color w:val="000000" w:themeColor="text1"/>
                <w:sz w:val="22"/>
                <w:szCs w:val="22"/>
                <w14:textFill>
                  <w14:solidFill>
                    <w14:schemeClr w14:val="tx1"/>
                  </w14:solidFill>
                </w14:textFill>
              </w:rPr>
              <w:t>关系。</w:t>
            </w:r>
          </w:p>
        </w:tc>
      </w:tr>
    </w:tbl>
    <w:p>
      <w:pPr>
        <w:pStyle w:val="18"/>
        <w:rPr>
          <w:color w:val="000000" w:themeColor="text1"/>
          <w14:textFill>
            <w14:solidFill>
              <w14:schemeClr w14:val="tx1"/>
            </w14:solidFill>
          </w14:textFill>
        </w:rPr>
      </w:pPr>
      <w:bookmarkStart w:id="29" w:name="_Toc406"/>
      <w:bookmarkStart w:id="30" w:name="_Toc43143168"/>
      <w:r>
        <w:rPr>
          <w:color w:val="000000" w:themeColor="text1"/>
          <w14:textFill>
            <w14:solidFill>
              <w14:schemeClr w14:val="tx1"/>
            </w14:solidFill>
          </w14:textFill>
        </w:rPr>
        <w:t>1.5工作原则</w:t>
      </w:r>
      <w:bookmarkEnd w:id="28"/>
      <w:bookmarkEnd w:id="29"/>
      <w:bookmarkEnd w:id="30"/>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尾矿库</w:t>
      </w:r>
      <w:r>
        <w:rPr>
          <w:color w:val="000000" w:themeColor="text1"/>
          <w14:textFill>
            <w14:solidFill>
              <w14:schemeClr w14:val="tx1"/>
            </w14:solidFill>
          </w14:textFill>
        </w:rPr>
        <w:t>突发环境事件应急预案工作原则</w:t>
      </w:r>
      <w:r>
        <w:rPr>
          <w:rFonts w:hint="eastAsia"/>
          <w:color w:val="000000" w:themeColor="text1"/>
          <w14:textFill>
            <w14:solidFill>
              <w14:schemeClr w14:val="tx1"/>
            </w14:solidFill>
          </w14:textFill>
        </w:rPr>
        <w:t>应遵循预防为主、减少危害，统一领导、分级负责，企业自救、属地管理，整合资源、联动处置等原则。包含但不限于以下原则</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以人为本、减少危害。把保障公众健康和生命财产安全作为首要任务，最大程度地减少突发环境事件造成的人员伤亡和环境危害。</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科学预警、做好准备。强化生产安全事故引发次生突发环境事件的预警工作，积极做好应对突发环境事件的思想、人员、物资和技术等各项准备工作，提高突发环境事件的处置能力。</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高效处置、协同应对。根据风险评估的结果，事先针对各种可能的突发环境事件情景，形成分工明确、准备周全、操作熟练的高效处置措施。并在切断和控制污染源等方面与企业内部其他预案、在现场处置等方面与政府及有关部门应急预案进行有机衔接。</w:t>
      </w:r>
    </w:p>
    <w:p>
      <w:pPr>
        <w:ind w:firstLine="560"/>
        <w:rPr>
          <w:rFonts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统一领导、分工负责。在突发环境事件下，需坚持统一领导，分级响应的原则，针对各种情景落实每个岗位在应急处置过程中的职责和工作要求，提高突发环境事件的处置能力。</w:t>
      </w:r>
    </w:p>
    <w:p>
      <w:pPr>
        <w:pStyle w:val="18"/>
        <w:rPr>
          <w:color w:val="000000" w:themeColor="text1"/>
          <w14:textFill>
            <w14:solidFill>
              <w14:schemeClr w14:val="tx1"/>
            </w14:solidFill>
          </w14:textFill>
        </w:rPr>
      </w:pPr>
      <w:bookmarkStart w:id="31" w:name="_Toc43143169"/>
      <w:bookmarkStart w:id="32" w:name="_Toc3256"/>
      <w:r>
        <w:rPr>
          <w:color w:val="000000" w:themeColor="text1"/>
          <w14:textFill>
            <w14:solidFill>
              <w14:schemeClr w14:val="tx1"/>
            </w14:solidFill>
          </w14:textFill>
        </w:rPr>
        <w:t>1.6预案体系说明</w:t>
      </w:r>
      <w:bookmarkEnd w:id="31"/>
      <w:bookmarkEnd w:id="32"/>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预案体系说明主要是介绍尾矿库环境应急预案与尾矿库企业环境应急预案、尾矿库安全生产相关预案、各车间现场处置方案以及其他专项应急预案之间的联系和区别。各企业的预案体系说明内容应根据尾矿库实际情况进行编制。云南安宁泰源工贸集团有限公司景洪分公司应急预案体系说明如下：</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应急预案体系主要包括生产安全事故应急预案和突发环境事件综合预案。云南安宁泰源工贸集团有限公司景洪分公司《尾矿库突发环境事件应急预案》是《突发环境事件综合预案》下的专项预案，是针对尾矿库环境风险，编制相应的专项应急预案。同时，对危险性较大的重点位置和岗位，编制现场处置预案。当尾矿库发生突发环境事件，启动《突发环境事件应急预案》时，应同时启动《尾矿库突发环境事件应急预案》。在现场处置过程中，应根据发生的尾矿库突发环境事件的特征，按照现场处置预案的应急处置程序、应急处置要点和注意事项进行现场处置。云南安宁泰源工贸集团有限公司景洪分公司应急预案体系如图1.6-1所示：</w:t>
      </w:r>
    </w:p>
    <w:p>
      <w:pPr>
        <w:pStyle w:val="30"/>
        <w:spacing w:after="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g">
            <w:drawing>
              <wp:anchor distT="0" distB="0" distL="114300" distR="114300" simplePos="0" relativeHeight="251663360" behindDoc="0" locked="0" layoutInCell="1" allowOverlap="1">
                <wp:simplePos x="0" y="0"/>
                <wp:positionH relativeFrom="column">
                  <wp:posOffset>-420370</wp:posOffset>
                </wp:positionH>
                <wp:positionV relativeFrom="paragraph">
                  <wp:posOffset>163195</wp:posOffset>
                </wp:positionV>
                <wp:extent cx="6491605" cy="5793740"/>
                <wp:effectExtent l="4445" t="4445" r="0" b="12065"/>
                <wp:wrapTopAndBottom/>
                <wp:docPr id="77" name="组合 77"/>
                <wp:cNvGraphicFramePr/>
                <a:graphic xmlns:a="http://schemas.openxmlformats.org/drawingml/2006/main">
                  <a:graphicData uri="http://schemas.microsoft.com/office/word/2010/wordprocessingGroup">
                    <wpg:wgp>
                      <wpg:cNvGrpSpPr/>
                      <wpg:grpSpPr>
                        <a:xfrm>
                          <a:off x="0" y="0"/>
                          <a:ext cx="6491605" cy="5793740"/>
                          <a:chOff x="7599" y="2512"/>
                          <a:chExt cx="9874" cy="8841"/>
                        </a:xfrm>
                        <a:effectLst/>
                      </wpg:grpSpPr>
                      <wpg:grpSp>
                        <wpg:cNvPr id="70" name="组合 70"/>
                        <wpg:cNvGrpSpPr/>
                        <wpg:grpSpPr>
                          <a:xfrm>
                            <a:off x="8176" y="8718"/>
                            <a:ext cx="8974" cy="2518"/>
                            <a:chOff x="8176" y="8718"/>
                            <a:chExt cx="8974" cy="2518"/>
                          </a:xfrm>
                          <a:effectLst/>
                        </wpg:grpSpPr>
                        <wps:wsp>
                          <wps:cNvPr id="36" name="文本框 36"/>
                          <wps:cNvSpPr txBox="1"/>
                          <wps:spPr>
                            <a:xfrm>
                              <a:off x="8176" y="8754"/>
                              <a:ext cx="1037" cy="246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尾矿砂浆外泄情景处置方案</w:t>
                                </w:r>
                              </w:p>
                              <w:p>
                                <w:pPr>
                                  <w:ind w:firstLine="560"/>
                                </w:pPr>
                              </w:p>
                            </w:txbxContent>
                          </wps:txbx>
                          <wps:bodyPr upright="1"/>
                        </wps:wsp>
                        <wps:wsp>
                          <wps:cNvPr id="37" name="文本框 37"/>
                          <wps:cNvSpPr txBox="1"/>
                          <wps:spPr>
                            <a:xfrm>
                              <a:off x="9463" y="8754"/>
                              <a:ext cx="1022" cy="248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尾矿水超标外排情景处置方案</w:t>
                                </w:r>
                              </w:p>
                            </w:txbxContent>
                          </wps:txbx>
                          <wps:bodyPr upright="1"/>
                        </wps:wsp>
                        <wps:wsp>
                          <wps:cNvPr id="38" name="文本框 38"/>
                          <wps:cNvSpPr txBox="1"/>
                          <wps:spPr>
                            <a:xfrm>
                              <a:off x="12121" y="8754"/>
                              <a:ext cx="1005" cy="248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尾矿库渗漏情景处置方案</w:t>
                                </w:r>
                              </w:p>
                              <w:p>
                                <w:pPr>
                                  <w:ind w:firstLine="560"/>
                                </w:pPr>
                              </w:p>
                            </w:txbxContent>
                          </wps:txbx>
                          <wps:bodyPr upright="1"/>
                        </wps:wsp>
                        <wps:wsp>
                          <wps:cNvPr id="39" name="文本框 39"/>
                          <wps:cNvSpPr txBox="1"/>
                          <wps:spPr>
                            <a:xfrm>
                              <a:off x="13494" y="8736"/>
                              <a:ext cx="990" cy="249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尾矿输送管线泄漏情景处置方案</w:t>
                                </w:r>
                              </w:p>
                              <w:p>
                                <w:pPr>
                                  <w:ind w:firstLine="560"/>
                                </w:pPr>
                              </w:p>
                            </w:txbxContent>
                          </wps:txbx>
                          <wps:bodyPr upright="1"/>
                        </wps:wsp>
                        <wps:wsp>
                          <wps:cNvPr id="40" name="文本框 40"/>
                          <wps:cNvSpPr txBox="1"/>
                          <wps:spPr>
                            <a:xfrm>
                              <a:off x="14805" y="8718"/>
                              <a:ext cx="1005" cy="24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回水管线泄漏情景处置方案</w:t>
                                </w:r>
                              </w:p>
                            </w:txbxContent>
                          </wps:txbx>
                          <wps:bodyPr upright="1"/>
                        </wps:wsp>
                        <wps:wsp>
                          <wps:cNvPr id="41" name="文本框 41"/>
                          <wps:cNvSpPr txBox="1"/>
                          <wps:spPr>
                            <a:xfrm>
                              <a:off x="16162" y="8718"/>
                              <a:ext cx="989" cy="247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尾矿库溃坝情景处置方案</w:t>
                                </w:r>
                              </w:p>
                              <w:p>
                                <w:pPr>
                                  <w:ind w:firstLine="560"/>
                                </w:pPr>
                              </w:p>
                            </w:txbxContent>
                          </wps:txbx>
                          <wps:bodyPr upright="1"/>
                        </wps:wsp>
                        <wps:wsp>
                          <wps:cNvPr id="68" name="文本框 68"/>
                          <wps:cNvSpPr txBox="1"/>
                          <wps:spPr>
                            <a:xfrm>
                              <a:off x="10820" y="8744"/>
                              <a:ext cx="1022" cy="248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sz w:val="21"/>
                                    <w:szCs w:val="21"/>
                                  </w:rPr>
                                </w:pPr>
                                <w:r>
                                  <w:rPr>
                                    <w:rFonts w:hint="eastAsia"/>
                                    <w:sz w:val="21"/>
                                    <w:szCs w:val="21"/>
                                  </w:rPr>
                                  <w:t>尾矿库渗滤液溢出外排情景处置方案</w:t>
                                </w:r>
                              </w:p>
                            </w:txbxContent>
                          </wps:txbx>
                          <wps:bodyPr upright="1"/>
                        </wps:wsp>
                      </wpg:grpSp>
                      <wpg:grpSp>
                        <wpg:cNvPr id="76" name="组合 76"/>
                        <wpg:cNvGrpSpPr/>
                        <wpg:grpSpPr>
                          <a:xfrm>
                            <a:off x="7599" y="2512"/>
                            <a:ext cx="9874" cy="8841"/>
                            <a:chOff x="7532" y="2512"/>
                            <a:chExt cx="9874" cy="8841"/>
                          </a:xfrm>
                          <a:effectLst/>
                        </wpg:grpSpPr>
                        <wps:wsp>
                          <wps:cNvPr id="43" name="文本框 43"/>
                          <wps:cNvSpPr txBox="1"/>
                          <wps:spPr>
                            <a:xfrm>
                              <a:off x="12518" y="3099"/>
                              <a:ext cx="1205" cy="571"/>
                            </a:xfrm>
                            <a:prstGeom prst="rect">
                              <a:avLst/>
                            </a:prstGeom>
                            <a:solidFill>
                              <a:srgbClr val="FFFFFF"/>
                            </a:solidFill>
                            <a:ln>
                              <a:noFill/>
                            </a:ln>
                            <a:effectLst/>
                          </wps:spPr>
                          <wps:txbx>
                            <w:txbxContent>
                              <w:p>
                                <w:pPr>
                                  <w:ind w:firstLine="0" w:firstLineChars="0"/>
                                </w:pPr>
                                <w:r>
                                  <w:rPr>
                                    <w:rFonts w:hint="eastAsia"/>
                                    <w:sz w:val="21"/>
                                    <w:szCs w:val="21"/>
                                  </w:rPr>
                                  <w:t>提供依据</w:t>
                                </w:r>
                              </w:p>
                            </w:txbxContent>
                          </wps:txbx>
                          <wps:bodyPr upright="1"/>
                        </wps:wsp>
                        <wpg:grpSp>
                          <wpg:cNvPr id="75" name="组合 75"/>
                          <wpg:cNvGrpSpPr/>
                          <wpg:grpSpPr>
                            <a:xfrm>
                              <a:off x="7532" y="2512"/>
                              <a:ext cx="9874" cy="8841"/>
                              <a:chOff x="7532" y="2512"/>
                              <a:chExt cx="9874" cy="8841"/>
                            </a:xfrm>
                            <a:effectLst/>
                          </wpg:grpSpPr>
                          <wps:wsp>
                            <wps:cNvPr id="31" name="文本框 31"/>
                            <wps:cNvSpPr txBox="1"/>
                            <wps:spPr>
                              <a:xfrm>
                                <a:off x="10306" y="3653"/>
                                <a:ext cx="1220" cy="481"/>
                              </a:xfrm>
                              <a:prstGeom prst="rect">
                                <a:avLst/>
                              </a:prstGeom>
                              <a:solidFill>
                                <a:srgbClr val="FFFFFF"/>
                              </a:solidFill>
                              <a:ln>
                                <a:noFill/>
                              </a:ln>
                              <a:effectLst/>
                            </wps:spPr>
                            <wps:txbx>
                              <w:txbxContent>
                                <w:p>
                                  <w:pPr>
                                    <w:ind w:firstLine="0" w:firstLineChars="0"/>
                                    <w:rPr>
                                      <w:sz w:val="20"/>
                                      <w:szCs w:val="21"/>
                                    </w:rPr>
                                  </w:pPr>
                                  <w:r>
                                    <w:rPr>
                                      <w:rFonts w:hint="eastAsia"/>
                                      <w:sz w:val="20"/>
                                      <w:szCs w:val="21"/>
                                    </w:rPr>
                                    <w:t>相互协作</w:t>
                                  </w:r>
                                </w:p>
                                <w:p>
                                  <w:pPr>
                                    <w:pStyle w:val="30"/>
                                    <w:ind w:left="560" w:firstLine="560"/>
                                  </w:pPr>
                                </w:p>
                              </w:txbxContent>
                            </wps:txbx>
                            <wps:bodyPr upright="1"/>
                          </wps:wsp>
                          <wpg:grpSp>
                            <wpg:cNvPr id="74" name="组合 74"/>
                            <wpg:cNvGrpSpPr/>
                            <wpg:grpSpPr>
                              <a:xfrm>
                                <a:off x="7532" y="2512"/>
                                <a:ext cx="9874" cy="8841"/>
                                <a:chOff x="7532" y="2512"/>
                                <a:chExt cx="9874" cy="8841"/>
                              </a:xfrm>
                              <a:effectLst/>
                            </wpg:grpSpPr>
                            <wps:wsp>
                              <wps:cNvPr id="32" name="文本框 32"/>
                              <wps:cNvSpPr txBox="1"/>
                              <wps:spPr>
                                <a:xfrm>
                                  <a:off x="10336" y="4296"/>
                                  <a:ext cx="1220" cy="481"/>
                                </a:xfrm>
                                <a:prstGeom prst="rect">
                                  <a:avLst/>
                                </a:prstGeom>
                                <a:solidFill>
                                  <a:srgbClr val="FFFFFF"/>
                                </a:solidFill>
                                <a:ln>
                                  <a:noFill/>
                                </a:ln>
                                <a:effectLst/>
                              </wps:spPr>
                              <wps:txbx>
                                <w:txbxContent>
                                  <w:p>
                                    <w:pPr>
                                      <w:ind w:firstLine="0" w:firstLineChars="0"/>
                                      <w:rPr>
                                        <w:sz w:val="24"/>
                                      </w:rPr>
                                    </w:pPr>
                                    <w:r>
                                      <w:rPr>
                                        <w:rFonts w:hint="eastAsia"/>
                                        <w:sz w:val="20"/>
                                        <w:szCs w:val="21"/>
                                      </w:rPr>
                                      <w:t>相互联动</w:t>
                                    </w:r>
                                  </w:p>
                                </w:txbxContent>
                              </wps:txbx>
                              <wps:bodyPr upright="1"/>
                            </wps:wsp>
                            <wpg:grpSp>
                              <wpg:cNvPr id="73" name="组合 73"/>
                              <wpg:cNvGrpSpPr/>
                              <wpg:grpSpPr>
                                <a:xfrm>
                                  <a:off x="7532" y="2512"/>
                                  <a:ext cx="9874" cy="8841"/>
                                  <a:chOff x="7532" y="2512"/>
                                  <a:chExt cx="9874" cy="8841"/>
                                </a:xfrm>
                                <a:effectLst/>
                              </wpg:grpSpPr>
                              <wps:wsp>
                                <wps:cNvPr id="63" name="矩形 63"/>
                                <wps:cNvSpPr/>
                                <wps:spPr>
                                  <a:xfrm>
                                    <a:off x="7892" y="8265"/>
                                    <a:ext cx="9514" cy="3088"/>
                                  </a:xfrm>
                                  <a:prstGeom prst="rect">
                                    <a:avLst/>
                                  </a:prstGeom>
                                  <a:noFill/>
                                  <a:ln w="9525" cap="flat" cmpd="sng">
                                    <a:solidFill>
                                      <a:srgbClr val="000000"/>
                                    </a:solidFill>
                                    <a:prstDash val="dash"/>
                                    <a:miter/>
                                    <a:headEnd type="none" w="med" len="med"/>
                                    <a:tailEnd type="none" w="med" len="med"/>
                                  </a:ln>
                                  <a:effectLst/>
                                </wps:spPr>
                                <wps:bodyPr upright="1"/>
                              </wps:wsp>
                              <wpg:grpSp>
                                <wpg:cNvPr id="72" name="组合 72"/>
                                <wpg:cNvGrpSpPr/>
                                <wpg:grpSpPr>
                                  <a:xfrm>
                                    <a:off x="7532" y="2512"/>
                                    <a:ext cx="9208" cy="6216"/>
                                    <a:chOff x="7532" y="2512"/>
                                    <a:chExt cx="9208" cy="6216"/>
                                  </a:xfrm>
                                  <a:effectLst/>
                                </wpg:grpSpPr>
                                <wps:wsp>
                                  <wps:cNvPr id="33" name="直接连接符 33"/>
                                  <wps:cNvCnPr/>
                                  <wps:spPr>
                                    <a:xfrm flipH="1" flipV="1">
                                      <a:off x="10308" y="4373"/>
                                      <a:ext cx="1232" cy="17"/>
                                    </a:xfrm>
                                    <a:prstGeom prst="line">
                                      <a:avLst/>
                                    </a:prstGeom>
                                    <a:ln w="9525" cap="flat" cmpd="sng">
                                      <a:solidFill>
                                        <a:srgbClr val="000000"/>
                                      </a:solidFill>
                                      <a:prstDash val="solid"/>
                                      <a:headEnd type="none" w="med" len="med"/>
                                      <a:tailEnd type="arrow" w="med" len="med"/>
                                    </a:ln>
                                    <a:effectLst/>
                                  </wps:spPr>
                                  <wps:bodyPr/>
                                </wps:wsp>
                                <wps:wsp>
                                  <wps:cNvPr id="34" name="直接连接符 34"/>
                                  <wps:cNvCnPr/>
                                  <wps:spPr>
                                    <a:xfrm>
                                      <a:off x="10338" y="4104"/>
                                      <a:ext cx="1203" cy="1"/>
                                    </a:xfrm>
                                    <a:prstGeom prst="line">
                                      <a:avLst/>
                                    </a:prstGeom>
                                    <a:ln w="9525" cap="flat" cmpd="sng">
                                      <a:solidFill>
                                        <a:srgbClr val="000000"/>
                                      </a:solidFill>
                                      <a:prstDash val="solid"/>
                                      <a:headEnd type="none" w="med" len="med"/>
                                      <a:tailEnd type="arrow" w="med" len="med"/>
                                    </a:ln>
                                    <a:effectLst/>
                                  </wps:spPr>
                                  <wps:bodyPr/>
                                </wps:wsp>
                                <wps:wsp>
                                  <wps:cNvPr id="35" name="直接连接符 35"/>
                                  <wps:cNvCnPr/>
                                  <wps:spPr>
                                    <a:xfrm>
                                      <a:off x="10871" y="5336"/>
                                      <a:ext cx="1" cy="303"/>
                                    </a:xfrm>
                                    <a:prstGeom prst="line">
                                      <a:avLst/>
                                    </a:prstGeom>
                                    <a:ln w="9525" cap="flat" cmpd="sng">
                                      <a:solidFill>
                                        <a:srgbClr val="000000"/>
                                      </a:solidFill>
                                      <a:prstDash val="solid"/>
                                      <a:headEnd type="none" w="med" len="med"/>
                                      <a:tailEnd type="arrow" w="med" len="med"/>
                                    </a:ln>
                                    <a:effectLst/>
                                  </wps:spPr>
                                  <wps:bodyPr/>
                                </wps:wsp>
                                <wps:wsp>
                                  <wps:cNvPr id="44" name="文本框 44"/>
                                  <wps:cNvSpPr txBox="1"/>
                                  <wps:spPr>
                                    <a:xfrm>
                                      <a:off x="10459" y="2512"/>
                                      <a:ext cx="4391" cy="60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jc w:val="center"/>
                                          <w:rPr>
                                            <w:rFonts w:cs="仿宋"/>
                                            <w:sz w:val="21"/>
                                            <w:szCs w:val="21"/>
                                          </w:rPr>
                                        </w:pPr>
                                        <w:r>
                                          <w:rPr>
                                            <w:rFonts w:hint="eastAsia" w:cs="仿宋"/>
                                            <w:sz w:val="21"/>
                                            <w:szCs w:val="21"/>
                                          </w:rPr>
                                          <w:t>西双版纳州、云南省突发环境事件应急预案</w:t>
                                        </w:r>
                                      </w:p>
                                    </w:txbxContent>
                                  </wps:txbx>
                                  <wps:bodyPr upright="1"/>
                                </wps:wsp>
                                <wps:wsp>
                                  <wps:cNvPr id="45" name="文本框 45"/>
                                  <wps:cNvSpPr txBox="1"/>
                                  <wps:spPr>
                                    <a:xfrm>
                                      <a:off x="11526" y="3656"/>
                                      <a:ext cx="2366" cy="13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80" w:lineRule="exact"/>
                                          <w:ind w:firstLine="0" w:firstLineChars="0"/>
                                          <w:jc w:val="center"/>
                                          <w:rPr>
                                            <w:rFonts w:cs="仿宋"/>
                                            <w:sz w:val="20"/>
                                            <w:szCs w:val="21"/>
                                          </w:rPr>
                                        </w:pPr>
                                        <w:r>
                                          <w:rPr>
                                            <w:rFonts w:hint="eastAsia" w:cs="仿宋"/>
                                            <w:sz w:val="20"/>
                                            <w:szCs w:val="21"/>
                                          </w:rPr>
                                          <w:t>云南安宁泰源工贸集团有限公司景洪分公司突发环境事件应急预案</w:t>
                                        </w:r>
                                      </w:p>
                                    </w:txbxContent>
                                  </wps:txbx>
                                  <wps:bodyPr upright="1"/>
                                </wps:wsp>
                                <wps:wsp>
                                  <wps:cNvPr id="46" name="文本框 46"/>
                                  <wps:cNvSpPr txBox="1"/>
                                  <wps:spPr>
                                    <a:xfrm>
                                      <a:off x="13173" y="7116"/>
                                      <a:ext cx="3521" cy="90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80" w:lineRule="exact"/>
                                          <w:ind w:firstLine="0" w:firstLineChars="0"/>
                                          <w:jc w:val="center"/>
                                          <w:rPr>
                                            <w:rFonts w:cs="仿宋"/>
                                            <w:sz w:val="20"/>
                                            <w:szCs w:val="21"/>
                                          </w:rPr>
                                        </w:pPr>
                                        <w:r>
                                          <w:rPr>
                                            <w:rFonts w:hint="eastAsia" w:cs="仿宋"/>
                                            <w:sz w:val="20"/>
                                            <w:szCs w:val="21"/>
                                          </w:rPr>
                                          <w:t>云南安宁泰源工贸集团有限公司景洪分公司尾矿库突发环境事件应急预案</w:t>
                                        </w:r>
                                      </w:p>
                                    </w:txbxContent>
                                  </wps:txbx>
                                  <wps:bodyPr upright="1"/>
                                </wps:wsp>
                                <wps:wsp>
                                  <wps:cNvPr id="47" name="文本框 47"/>
                                  <wps:cNvSpPr txBox="1"/>
                                  <wps:spPr>
                                    <a:xfrm>
                                      <a:off x="7532" y="3672"/>
                                      <a:ext cx="2730" cy="131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0" w:firstLineChars="0"/>
                                          <w:rPr>
                                            <w:rFonts w:cs="仿宋"/>
                                            <w:sz w:val="18"/>
                                            <w:szCs w:val="21"/>
                                          </w:rPr>
                                        </w:pPr>
                                        <w:r>
                                          <w:rPr>
                                            <w:rFonts w:hint="eastAsia" w:cs="仿宋"/>
                                            <w:sz w:val="18"/>
                                            <w:szCs w:val="21"/>
                                          </w:rPr>
                                          <w:t>选矿厂（尾矿库）、云南安宁泰源工贸集团有限公司景洪分公司突发环境事件应急预案</w:t>
                                        </w:r>
                                      </w:p>
                                    </w:txbxContent>
                                  </wps:txbx>
                                  <wps:bodyPr upright="1"/>
                                </wps:wsp>
                                <wps:wsp>
                                  <wps:cNvPr id="48" name="文本框 48"/>
                                  <wps:cNvSpPr txBox="1"/>
                                  <wps:spPr>
                                    <a:xfrm>
                                      <a:off x="9499" y="5654"/>
                                      <a:ext cx="2987" cy="92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80" w:lineRule="exact"/>
                                          <w:ind w:firstLine="0" w:firstLineChars="0"/>
                                          <w:jc w:val="center"/>
                                          <w:rPr>
                                            <w:rFonts w:cs="仿宋"/>
                                            <w:sz w:val="21"/>
                                            <w:szCs w:val="21"/>
                                          </w:rPr>
                                        </w:pPr>
                                        <w:r>
                                          <w:rPr>
                                            <w:rFonts w:hint="eastAsia" w:cs="仿宋"/>
                                            <w:sz w:val="21"/>
                                            <w:szCs w:val="21"/>
                                          </w:rPr>
                                          <w:t>云南安宁泰源工贸集团有限公司景洪分公司生产安全事故应急预案</w:t>
                                        </w:r>
                                      </w:p>
                                    </w:txbxContent>
                                  </wps:txbx>
                                  <wps:bodyPr upright="1"/>
                                </wps:wsp>
                                <wps:wsp>
                                  <wps:cNvPr id="49" name="文本框 49"/>
                                  <wps:cNvSpPr txBox="1"/>
                                  <wps:spPr>
                                    <a:xfrm>
                                      <a:off x="13294" y="5654"/>
                                      <a:ext cx="3188" cy="92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80" w:lineRule="exact"/>
                                          <w:ind w:firstLine="0" w:firstLineChars="0"/>
                                          <w:jc w:val="center"/>
                                          <w:rPr>
                                            <w:rFonts w:cs="仿宋"/>
                                            <w:sz w:val="21"/>
                                            <w:szCs w:val="21"/>
                                          </w:rPr>
                                        </w:pPr>
                                        <w:r>
                                          <w:rPr>
                                            <w:rFonts w:hint="eastAsia" w:cs="仿宋"/>
                                            <w:sz w:val="21"/>
                                            <w:szCs w:val="21"/>
                                          </w:rPr>
                                          <w:t>云南安宁泰源工贸集团有限公司景洪分公司突发环境事件应急预案</w:t>
                                        </w:r>
                                      </w:p>
                                    </w:txbxContent>
                                  </wps:txbx>
                                  <wps:bodyPr upright="1"/>
                                </wps:wsp>
                                <wps:wsp>
                                  <wps:cNvPr id="50" name="直接连接符 50"/>
                                  <wps:cNvCnPr/>
                                  <wps:spPr>
                                    <a:xfrm flipH="1">
                                      <a:off x="14775" y="5354"/>
                                      <a:ext cx="14" cy="303"/>
                                    </a:xfrm>
                                    <a:prstGeom prst="line">
                                      <a:avLst/>
                                    </a:prstGeom>
                                    <a:ln w="9525" cap="flat" cmpd="sng">
                                      <a:solidFill>
                                        <a:srgbClr val="000000"/>
                                      </a:solidFill>
                                      <a:prstDash val="solid"/>
                                      <a:headEnd type="none" w="med" len="med"/>
                                      <a:tailEnd type="arrow" w="med" len="med"/>
                                    </a:ln>
                                    <a:effectLst/>
                                  </wps:spPr>
                                  <wps:bodyPr/>
                                </wps:wsp>
                                <wps:wsp>
                                  <wps:cNvPr id="51" name="直接连接符 51"/>
                                  <wps:cNvCnPr/>
                                  <wps:spPr>
                                    <a:xfrm>
                                      <a:off x="14805" y="6586"/>
                                      <a:ext cx="1" cy="553"/>
                                    </a:xfrm>
                                    <a:prstGeom prst="line">
                                      <a:avLst/>
                                    </a:prstGeom>
                                    <a:ln w="9525" cap="flat" cmpd="sng">
                                      <a:solidFill>
                                        <a:srgbClr val="000000"/>
                                      </a:solidFill>
                                      <a:prstDash val="solid"/>
                                      <a:headEnd type="none" w="med" len="med"/>
                                      <a:tailEnd type="arrow" w="med" len="med"/>
                                    </a:ln>
                                    <a:effectLst/>
                                  </wps:spPr>
                                  <wps:bodyPr/>
                                </wps:wsp>
                                <wps:wsp>
                                  <wps:cNvPr id="58" name="直接连接符 58"/>
                                  <wps:cNvCnPr/>
                                  <wps:spPr>
                                    <a:xfrm>
                                      <a:off x="10871" y="5354"/>
                                      <a:ext cx="3934" cy="1"/>
                                    </a:xfrm>
                                    <a:prstGeom prst="line">
                                      <a:avLst/>
                                    </a:prstGeom>
                                    <a:ln w="9525" cap="flat" cmpd="sng">
                                      <a:solidFill>
                                        <a:srgbClr val="000000"/>
                                      </a:solidFill>
                                      <a:prstDash val="solid"/>
                                      <a:headEnd type="none" w="med" len="med"/>
                                      <a:tailEnd type="none" w="med" len="med"/>
                                    </a:ln>
                                    <a:effectLst/>
                                  </wps:spPr>
                                  <wps:bodyPr/>
                                </wps:wsp>
                                <wps:wsp>
                                  <wps:cNvPr id="60" name="直接连接符 60"/>
                                  <wps:cNvCnPr/>
                                  <wps:spPr>
                                    <a:xfrm>
                                      <a:off x="14820" y="8032"/>
                                      <a:ext cx="1" cy="428"/>
                                    </a:xfrm>
                                    <a:prstGeom prst="line">
                                      <a:avLst/>
                                    </a:prstGeom>
                                    <a:ln w="9525" cap="flat" cmpd="sng">
                                      <a:solidFill>
                                        <a:srgbClr val="000000"/>
                                      </a:solidFill>
                                      <a:prstDash val="solid"/>
                                      <a:headEnd type="none" w="med" len="med"/>
                                      <a:tailEnd type="none" w="med" len="med"/>
                                    </a:ln>
                                    <a:effectLst/>
                                  </wps:spPr>
                                  <wps:bodyPr/>
                                </wps:wsp>
                                <wps:wsp>
                                  <wps:cNvPr id="61" name="直接连接符 61"/>
                                  <wps:cNvCnPr/>
                                  <wps:spPr>
                                    <a:xfrm>
                                      <a:off x="12609" y="4979"/>
                                      <a:ext cx="1" cy="411"/>
                                    </a:xfrm>
                                    <a:prstGeom prst="line">
                                      <a:avLst/>
                                    </a:prstGeom>
                                    <a:ln w="9525" cap="flat" cmpd="sng">
                                      <a:solidFill>
                                        <a:srgbClr val="000000"/>
                                      </a:solidFill>
                                      <a:prstDash val="solid"/>
                                      <a:headEnd type="none" w="med" len="med"/>
                                      <a:tailEnd type="arrow" w="med" len="med"/>
                                    </a:ln>
                                    <a:effectLst/>
                                  </wps:spPr>
                                  <wps:bodyPr/>
                                </wps:wsp>
                                <wps:wsp>
                                  <wps:cNvPr id="62" name="直接连接符 62"/>
                                  <wps:cNvCnPr/>
                                  <wps:spPr>
                                    <a:xfrm flipV="1">
                                      <a:off x="12579" y="3134"/>
                                      <a:ext cx="1" cy="500"/>
                                    </a:xfrm>
                                    <a:prstGeom prst="line">
                                      <a:avLst/>
                                    </a:prstGeom>
                                    <a:ln w="9525" cap="flat" cmpd="sng">
                                      <a:solidFill>
                                        <a:srgbClr val="000000"/>
                                      </a:solidFill>
                                      <a:prstDash val="solid"/>
                                      <a:headEnd type="none" w="med" len="med"/>
                                      <a:tailEnd type="arrow" w="med" len="med"/>
                                    </a:ln>
                                    <a:effectLst/>
                                  </wps:spPr>
                                  <wps:bodyPr/>
                                </wps:wsp>
                                <wpg:grpSp>
                                  <wpg:cNvPr id="71" name="组合 71"/>
                                  <wpg:cNvGrpSpPr/>
                                  <wpg:grpSpPr>
                                    <a:xfrm>
                                      <a:off x="8648" y="8460"/>
                                      <a:ext cx="8093" cy="268"/>
                                      <a:chOff x="8648" y="8460"/>
                                      <a:chExt cx="8093" cy="268"/>
                                    </a:xfrm>
                                    <a:effectLst/>
                                  </wpg:grpSpPr>
                                  <wps:wsp>
                                    <wps:cNvPr id="52" name="直接连接符 52"/>
                                    <wps:cNvCnPr/>
                                    <wps:spPr>
                                      <a:xfrm>
                                        <a:off x="9941" y="8496"/>
                                        <a:ext cx="1" cy="232"/>
                                      </a:xfrm>
                                      <a:prstGeom prst="line">
                                        <a:avLst/>
                                      </a:prstGeom>
                                      <a:ln w="9525" cap="flat" cmpd="sng">
                                        <a:solidFill>
                                          <a:srgbClr val="000000"/>
                                        </a:solidFill>
                                        <a:prstDash val="solid"/>
                                        <a:headEnd type="none" w="med" len="med"/>
                                        <a:tailEnd type="arrow" w="med" len="med"/>
                                      </a:ln>
                                      <a:effectLst/>
                                    </wps:spPr>
                                    <wps:bodyPr/>
                                  </wps:wsp>
                                  <wps:wsp>
                                    <wps:cNvPr id="53" name="直接连接符 53"/>
                                    <wps:cNvCnPr/>
                                    <wps:spPr>
                                      <a:xfrm>
                                        <a:off x="11359" y="8496"/>
                                        <a:ext cx="1" cy="232"/>
                                      </a:xfrm>
                                      <a:prstGeom prst="line">
                                        <a:avLst/>
                                      </a:prstGeom>
                                      <a:ln w="9525" cap="flat" cmpd="sng">
                                        <a:solidFill>
                                          <a:srgbClr val="000000"/>
                                        </a:solidFill>
                                        <a:prstDash val="solid"/>
                                        <a:headEnd type="none" w="med" len="med"/>
                                        <a:tailEnd type="arrow" w="med" len="med"/>
                                      </a:ln>
                                      <a:effectLst/>
                                    </wps:spPr>
                                    <wps:bodyPr/>
                                  </wps:wsp>
                                  <wps:wsp>
                                    <wps:cNvPr id="54" name="直接连接符 54"/>
                                    <wps:cNvCnPr/>
                                    <wps:spPr>
                                      <a:xfrm>
                                        <a:off x="12762" y="8478"/>
                                        <a:ext cx="1" cy="232"/>
                                      </a:xfrm>
                                      <a:prstGeom prst="line">
                                        <a:avLst/>
                                      </a:prstGeom>
                                      <a:ln w="9525" cap="flat" cmpd="sng">
                                        <a:solidFill>
                                          <a:srgbClr val="000000"/>
                                        </a:solidFill>
                                        <a:prstDash val="solid"/>
                                        <a:headEnd type="none" w="med" len="med"/>
                                        <a:tailEnd type="arrow" w="med" len="med"/>
                                      </a:ln>
                                      <a:effectLst/>
                                    </wps:spPr>
                                    <wps:bodyPr/>
                                  </wps:wsp>
                                  <wps:wsp>
                                    <wps:cNvPr id="55" name="直接连接符 55"/>
                                    <wps:cNvCnPr/>
                                    <wps:spPr>
                                      <a:xfrm>
                                        <a:off x="14042" y="8496"/>
                                        <a:ext cx="1" cy="232"/>
                                      </a:xfrm>
                                      <a:prstGeom prst="line">
                                        <a:avLst/>
                                      </a:prstGeom>
                                      <a:ln w="9525" cap="flat" cmpd="sng">
                                        <a:solidFill>
                                          <a:srgbClr val="000000"/>
                                        </a:solidFill>
                                        <a:prstDash val="solid"/>
                                        <a:headEnd type="none" w="med" len="med"/>
                                        <a:tailEnd type="arrow" w="med" len="med"/>
                                      </a:ln>
                                      <a:effectLst/>
                                    </wps:spPr>
                                    <wps:bodyPr/>
                                  </wps:wsp>
                                  <wps:wsp>
                                    <wps:cNvPr id="56" name="直接连接符 56"/>
                                    <wps:cNvCnPr/>
                                    <wps:spPr>
                                      <a:xfrm>
                                        <a:off x="15369" y="8460"/>
                                        <a:ext cx="1" cy="232"/>
                                      </a:xfrm>
                                      <a:prstGeom prst="line">
                                        <a:avLst/>
                                      </a:prstGeom>
                                      <a:ln w="9525" cap="flat" cmpd="sng">
                                        <a:solidFill>
                                          <a:srgbClr val="000000"/>
                                        </a:solidFill>
                                        <a:prstDash val="solid"/>
                                        <a:headEnd type="none" w="med" len="med"/>
                                        <a:tailEnd type="arrow" w="med" len="med"/>
                                      </a:ln>
                                      <a:effectLst/>
                                    </wps:spPr>
                                    <wps:bodyPr/>
                                  </wps:wsp>
                                  <wps:wsp>
                                    <wps:cNvPr id="57" name="直接连接符 57"/>
                                    <wps:cNvCnPr/>
                                    <wps:spPr>
                                      <a:xfrm>
                                        <a:off x="16741" y="8460"/>
                                        <a:ext cx="1" cy="232"/>
                                      </a:xfrm>
                                      <a:prstGeom prst="line">
                                        <a:avLst/>
                                      </a:prstGeom>
                                      <a:ln w="9525" cap="flat" cmpd="sng">
                                        <a:solidFill>
                                          <a:srgbClr val="000000"/>
                                        </a:solidFill>
                                        <a:prstDash val="solid"/>
                                        <a:headEnd type="none" w="med" len="med"/>
                                        <a:tailEnd type="arrow" w="med" len="med"/>
                                      </a:ln>
                                      <a:effectLst/>
                                    </wps:spPr>
                                    <wps:bodyPr/>
                                  </wps:wsp>
                                  <wps:wsp>
                                    <wps:cNvPr id="59" name="直接连接符 59"/>
                                    <wps:cNvCnPr/>
                                    <wps:spPr>
                                      <a:xfrm flipV="1">
                                        <a:off x="8659" y="8460"/>
                                        <a:ext cx="8082" cy="36"/>
                                      </a:xfrm>
                                      <a:prstGeom prst="line">
                                        <a:avLst/>
                                      </a:prstGeom>
                                      <a:ln w="9525" cap="flat" cmpd="sng">
                                        <a:solidFill>
                                          <a:srgbClr val="000000"/>
                                        </a:solidFill>
                                        <a:prstDash val="solid"/>
                                        <a:headEnd type="none" w="med" len="med"/>
                                        <a:tailEnd type="none" w="med" len="med"/>
                                      </a:ln>
                                      <a:effectLst/>
                                    </wps:spPr>
                                    <wps:bodyPr/>
                                  </wps:wsp>
                                  <wps:wsp>
                                    <wps:cNvPr id="69" name="直接连接符 69"/>
                                    <wps:cNvCnPr/>
                                    <wps:spPr>
                                      <a:xfrm>
                                        <a:off x="8648" y="8486"/>
                                        <a:ext cx="1" cy="232"/>
                                      </a:xfrm>
                                      <a:prstGeom prst="line">
                                        <a:avLst/>
                                      </a:prstGeom>
                                      <a:ln w="9525" cap="flat" cmpd="sng">
                                        <a:solidFill>
                                          <a:srgbClr val="000000"/>
                                        </a:solidFill>
                                        <a:prstDash val="solid"/>
                                        <a:headEnd type="none" w="med" len="med"/>
                                        <a:tailEnd type="arrow" w="med" len="med"/>
                                      </a:ln>
                                      <a:effectLst/>
                                    </wps:spPr>
                                    <wps:bodyPr/>
                                  </wps:wsp>
                                </wpg:grpSp>
                              </wpg:grpSp>
                            </wpg:grpSp>
                          </wpg:grpSp>
                        </wpg:grpSp>
                      </wpg:grpSp>
                    </wpg:wgp>
                  </a:graphicData>
                </a:graphic>
              </wp:anchor>
            </w:drawing>
          </mc:Choice>
          <mc:Fallback>
            <w:pict>
              <v:group id="_x0000_s1026" o:spid="_x0000_s1026" o:spt="203" style="position:absolute;left:0pt;margin-left:-33.1pt;margin-top:12.85pt;height:456.2pt;width:511.15pt;mso-wrap-distance-bottom:0pt;mso-wrap-distance-top:0pt;z-index:251663360;mso-width-relative:page;mso-height-relative:page;" coordorigin="7599,2512" coordsize="9874,8841" o:gfxdata="UEsDBAoAAAAAAIdO4kAAAAAAAAAAAAAAAAAEAAAAZHJzL1BLAwQUAAAACACHTuJA/dNCkdsAAAAK&#10;AQAADwAAAGRycy9kb3ducmV2LnhtbE2PwUrDQBCG74LvsIzgrd1sSmIbsylS1FMRbAXpbZpMk9Ds&#10;bMhuk/btXU96m2E+/vn+fH01nRhpcK1lDWoegSAubdVyreFr/zZbgnAeucLOMmm4kYN1cX+XY1bZ&#10;iT9p3PlahBB2GWpovO8zKV3ZkEE3tz1xuJ3sYNCHdahlNeAUwk0n4yhKpcGWw4cGe9o0VJ53F6Ph&#10;fcLpZaFex+35tLkd9snH91aR1o8PKnoG4enq/2D41Q/qUASno71w5USnYZamcUA1xMkTiACsklSB&#10;OIZhsVQgi1z+r1D8AFBLAwQUAAAACACHTuJAKlzGRksIAACeVQAADgAAAGRycy9lMm9Eb2MueG1s&#10;7VzJjuNEGL4j8Q6W70zsKq9Rp0diemY4IBhpgLvbcRJL3mS7O+k7Ak6IExcQCCSQkObIDSGeZnp4&#10;DP5avMQLcdzdSTpxj5RxquyK66+vvn+1z56ufE+4duLEDYOJKD+RRMEJ7HDqBvOJ+PlnLz4wRCFJ&#10;rWBqeWHgTMQbJxGfnr//3tkyGjsoXITe1IkFGCRIxstoIi7SNBqPRom9cHwreRJGTgCdszD2rRS+&#10;xvPRNLaWMLrvjZAkaaNlGE+jOLSdJIHWC9Yp8hHjLgOGs5lrOxehfeU7QcpGjR3PSmFKycKNEvGc&#10;3u1s5tjpp7NZ4qSCNxFhpin9hB+B40vyOTo/s8bz2IoWrs1vwepyC5U5+ZYbwI/mQ11YqSVcxW5t&#10;KN+14zAJZ+kTO/RHbCJUIjALWarI5mUcXkV0LvPxch7lQoeFqki997D2J9evYsGdTkRdF4XA8mHF&#10;3/315dvvvhGgAaSzjOZjOOllHL2OXsW8Yc6+kQmvZrFP/oepCCsq15tcrs4qFWxo1BRT1iRVFGzo&#10;U3UT6wqXvL2A5SHX6appigJ0I1VGbFXsxXN+vWnoCrvYMBSZ9I6KH3boKn+cpKSZ3G1+c/mXBxYc&#10;YGldcHRyWwrOkHWNCsDQZYMJIBOfYWbTB+HwvlxwDdcVgqtf2VFwsLWTAm/J3fD2emFFDoVxQqDE&#10;8YZhukxst99/ffvjm9tfvhKgjSKMnkfwJqSrD0OAB130ZZSME2hsgF1JCqqyLj1ZwoBsgjykaLgC&#10;nihO0pdO6AvkYCLGwBd0G1vXHFDWODuF/GoSeu70het59Es8v3zmxcK1Bdzygv7x0ddO8wJhORFN&#10;FRH8W0CYMyAqOPQj2HRJMKe/t3ZFUh5Yon9NA5Mbu7CSBbsBOgKbue+mTgxytMYLx5o+D6ZCehPB&#10;vg6Az0VyM74zFQXPAfonR/TM1HK9LmcCfryADF3ZdtnKkDVKV5crvoyX4fQGVvEqit35AgTMNi85&#10;CfBFyGUXQMuJrQQ0zm1bA80kGCI8Zeh1oCGUAc2oslSGogFoRww0sJxqjEb5muAcmG8bRpMR/GtF&#10;WqZMkWJQbVmi9QFpJ0BpYCvVkGYSJu+DNKyYYF5RTmMKGNg9s7xMMG6Y7jQpkgegnZTuBDu9BjRm&#10;u/cBmmIQ3qJAy+zYDGiyVFCaqRIkD0g7LaSBsqtSGvP1+iBNkzWwxRqRZhpAnozSmIc7AO2kgKY1&#10;WGnQ1lN3SgYCiqRAU2qO5+APHKrjWQSKWISLxoweOEyUxzuy+BoPdmwVX2uIk2UqtB4ls8Z5mEhX&#10;MSPEe42v7cB7V8DdrukFGsbpoxdoAI1sVyxBvBH2fGHqyiizQFR9L947uZkgJNElZv3ca5yFh0Uf&#10;GOJg3bG1yiBOLbktI6ENUD1uiOMG0wfa+mokLLFAMtZUuk/KECfKitg+yn4CVEcAcfCU1yFOtf4A&#10;8Syf1xLsB+VTZXFQSL0hTpIHBMbIpEp0gHiWfr2PRGCucTMW5+p2S0OlZnAcN4uTvABnhp//ePv3&#10;rwJLNpWsFI72lhSWbpjcZUUaVZsFqE1VBtohvI0l445huNzCIImcnWSmppCjYqbWvhNTG7NRu7GS&#10;ci7M9hcnwnvbX0gCH5fARUMy58eOjkDtylJwpJLxW0u078ARwMX++uHP229/+/efn+Dz3ZvfBegp&#10;FMmzgFcpZBlJVikgzDw3+ogkIOnRF+SIWCO8bAGSxERmRKVgvWY1ESYj4pRp1rAkkkquxXMhwUpG&#10;bUkf72jDlVLBfRPAVhyHy+ZcMUx/o2fCNhosCvjZO031FtZZFSPcTKN5uBaMrOMBczzIUjWugySA&#10;IsUDwd0Ah8OFQ+GPVuHAHdPOcICqHEoPKq6myKCdaWZKGwMaDhYNEJ+t+SAsZluy0boWHAErqNWC&#10;tcy+VbDJQaGBK/6/FDEUHG2KEHdRNwdWcKTktFMUHEFbYaNsVQciqyiP51ScXYQ16KKaCEu06LCd&#10;fgakHSPSYPmrYRWFgqQPpWEZTF9iA+ty5jZklIZVUoxEkGZKNG4+AO2kkqZKQw0ltPWjtDzAjzWd&#10;13pnOEM65hFqGcsD0E6vWFdpyM5DWz+gmQp/qEDVqsW6CLKlnNBAvQ422qkVhSsNFZTQ1g9nMka8&#10;grIONCxDxJZpzgFozREla3zETx+oeQXlu0oMAnoKuLWEpIqwZTk4peg6q6NUcZXXikTBEI6gsbmD&#10;DUeoYFDzfFEVGOXcfwsw1uCQldVqqlHxELnRrrJKgHajfYhcx6x2fl+RazW3e2o0UbZ+OqBBKkKV&#10;VXLAJuZ5xA0FTscDh/Zn3roElvaFBq1VaUDPRqWxzg1ZfarE6i2KrDLnBgVtyCgPYNgvNWitigJ6&#10;tgID0iB4Q5Ocpl6tfmQ2qiKfDDM80hQnea6h2WyAno1oaE5+I3gmn+ICy6AgYJAaSaibwsvHQxIP&#10;gYvd1JUUPMFf4MDpYau6EkMjIRgI9BoK0zUFFgzJ5IlvxB6YKNWXN1xWeg1B9cKSIbrnqhK1dTtB&#10;z8btVNK0pglPKzG51WoSGbcipoBLcx/KR9L8vR1ZuQ5JXOzL7AIvqYVbmf/EkyodjHAZ8+ywoQxo&#10;eAhG3UHBGXhPbWjYspgI6dnTiIpOje2CU7kRPnADIdtDdsnUPKlfc9DLqf0O3KBICigdqmEHbnis&#10;3JAn3mtoKKffO6BBxRqzvev21sANpVcUHTQ35NnxGhrKOfIOaND03IqsWt8DGh4LGvLUYg0N5QRj&#10;CxoaPXRDy83JKiwMeAKd+ResMPUU3ItHGtRtxQVogG1czZKv3ZLvGczJO5iT5XcD3PkYXttJ7Vr+&#10;ilHyXtDydzguv1b1/D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CgAAW0NvbnRlbnRfVHlwZXNdLnhtbFBLAQIUAAoAAAAAAIdO4kAAAAAAAAAA&#10;AAAAAAAGAAAAAAAAAAAAEAAAAKEJAABfcmVscy9QSwECFAAUAAAACACHTuJAihRmPNEAAACUAQAA&#10;CwAAAAAAAAABACAAAADFCQAAX3JlbHMvLnJlbHNQSwECFAAKAAAAAACHTuJAAAAAAAAAAAAAAAAA&#10;BAAAAAAAAAAAABAAAAAAAAAAZHJzL1BLAQIUABQAAAAIAIdO4kD900KR2wAAAAoBAAAPAAAAAAAA&#10;AAEAIAAAACIAAABkcnMvZG93bnJldi54bWxQSwECFAAUAAAACACHTuJAKlzGRksIAACeVQAADgAA&#10;AAAAAAABACAAAAAqAQAAZHJzL2Uyb0RvYy54bWxQSwUGAAAAAAYABgBZAQAA5wsAAAAA&#10;">
                <o:lock v:ext="edit" aspectratio="f"/>
                <v:group id="_x0000_s1026" o:spid="_x0000_s1026" o:spt="203" style="position:absolute;left:8176;top:8718;height:2518;width:8974;" coordorigin="8176,8718" coordsize="8974,2518" o:gfxdata="UEsDBAoAAAAAAIdO4kAAAAAAAAAAAAAAAAAEAAAAZHJzL1BLAwQUAAAACACHTuJAL9F0tbsAAADb&#10;AAAADwAAAGRycy9kb3ducmV2LnhtbEVPy4rCMBTdD/gP4QqzG9M6jEo1FREdZiGCDxB3l+b2gc1N&#10;aWKrfz9ZCC4P571YPkwtOmpdZVlBPIpAEGdWV1woOJ+2XzMQziNrrC2Tgic5WKaDjwUm2vZ8oO7o&#10;CxFC2CWooPS+SaR0WUkG3cg2xIHLbWvQB9gWUrfYh3BTy3EUTaTBikNDiQ2tS8pux7tR8Ntjv/qO&#10;N93ulq+f19PP/rKLSanPYRzNQXh6+Lf45f7TCqZ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C/RdLW7AAAA2wAAAA8AAAAAAAAAAQAgAAAAIgAAAGRycy9kb3ducmV2LnhtbFBL&#10;AQIUABQAAAAIAIdO4kAzLwWeOwAAADkAAAAVAAAAAAAAAAEAIAAAAAoBAABkcnMvZ3JvdXBzaGFw&#10;ZXhtbC54bWxQSwUGAAAAAAYABgBgAQAAxwMAAAAA&#10;">
                  <o:lock v:ext="edit" aspectratio="f"/>
                  <v:shape id="_x0000_s1026" o:spid="_x0000_s1026" o:spt="202" type="#_x0000_t202" style="position:absolute;left:8176;top:8754;height:2463;width:1037;" fillcolor="#FFFFFF" filled="t" stroked="t" coordsize="21600,21600" o:gfxdata="UEsDBAoAAAAAAIdO4kAAAAAAAAAAAAAAAAAEAAAAZHJzL1BLAwQUAAAACACHTuJA0lS+Vr4AAADb&#10;AAAADwAAAGRycy9kb3ducmV2LnhtbEWPT2sCMRTE74V+h/AKXopmrbK160YPQsXeqhZ7fWze/sHN&#10;y5rEVb99UxA8DjPzGyZfXk0renK+saxgPEpAEBdWN1wp+Nl/DmcgfEDW2FomBTfysFw8P+WYaXvh&#10;LfW7UIkIYZ+hgjqELpPSFzUZ9CPbEUevtM5giNJVUju8RLhp5VuSpNJgw3Ghxo5WNRXH3dkomE03&#10;/a//mnwfirRsP8Lre78+OaUGL+NkDiLQNTzC9/ZGK5ik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lS+V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尾矿砂浆外泄情景处置方案</w:t>
                          </w:r>
                        </w:p>
                        <w:p>
                          <w:pPr>
                            <w:ind w:firstLine="560"/>
                          </w:pPr>
                        </w:p>
                      </w:txbxContent>
                    </v:textbox>
                  </v:shape>
                  <v:shape id="_x0000_s1026" o:spid="_x0000_s1026" o:spt="202" type="#_x0000_t202" style="position:absolute;left:9463;top:8754;height:2481;width:1022;" fillcolor="#FFFFFF" filled="t" stroked="t" coordsize="21600,21600" o:gfxdata="UEsDBAoAAAAAAIdO4kAAAAAAAAAAAAAAAAAEAAAAZHJzL1BLAwQUAAAACACHTuJAvRgbzb4AAADb&#10;AAAADwAAAGRycy9kb3ducmV2LnhtbEWPQWvCQBSE7wX/w/KEXkrdxIja6OpBsKS3VqW9PrLPJJh9&#10;G3e3Mf333YLQ4zAz3zDr7WBa0ZPzjWUF6SQBQVxa3XCl4HTcPy9B+ICssbVMCn7Iw3Yzelhjru2N&#10;P6g/hEpECPscFdQhdLmUvqzJoJ/Yjjh6Z+sMhihdJbXDW4SbVk6TZC4NNhwXauxoV1N5OXwbBctZ&#10;0X/5t+z9s5yf25fwtOhfr06px3GarEAEGsJ/+N4utIJsAX9f4g+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gbz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尾矿水超标外排情景处置方案</w:t>
                          </w:r>
                        </w:p>
                      </w:txbxContent>
                    </v:textbox>
                  </v:shape>
                  <v:shape id="_x0000_s1026" o:spid="_x0000_s1026" o:spt="202" type="#_x0000_t202" style="position:absolute;left:12121;top:8754;height:2482;width:1005;" fillcolor="#FFFFFF" filled="t" stroked="t" coordsize="21600,21600" o:gfxdata="UEsDBAoAAAAAAIdO4kAAAAAAAAAAAAAAAAAEAAAAZHJzL1BLAwQUAAAACACHTuJAzIePv7sAAADb&#10;AAAADwAAAGRycy9kb3ducmV2LnhtbEVPPW/CMBDdkfgP1iF1QeCkqYCmGIZKrWBrAcF6io8kIj4H&#10;203Sf18PSB2f3vd6O5hGdOR8bVlBOk9AEBdW11wqOB0/ZisQPiBrbCyTgl/ysN2MR2vMte35m7pD&#10;KEUMYZ+jgiqENpfSFxUZ9HPbEkfuap3BEKErpXbYx3DTyOckWUiDNceGClt6r6i4HX6MgtXLrrv4&#10;ffZ1LhbX5jVMl93n3Sn1NEmTNxCBhvAvfrh3WkEWx8Y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ePv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尾矿库渗漏情景处置方案</w:t>
                          </w:r>
                        </w:p>
                        <w:p>
                          <w:pPr>
                            <w:ind w:firstLine="560"/>
                          </w:pPr>
                        </w:p>
                      </w:txbxContent>
                    </v:textbox>
                  </v:shape>
                  <v:shape id="_x0000_s1026" o:spid="_x0000_s1026" o:spt="202" type="#_x0000_t202" style="position:absolute;left:13494;top:8736;height:2498;width:990;" fillcolor="#FFFFFF" filled="t" stroked="t" coordsize="21600,21600" o:gfxdata="UEsDBAoAAAAAAIdO4kAAAAAAAAAAAAAAAAAEAAAAZHJzL1BLAwQUAAAACACHTuJAo8sqJL4AAADb&#10;AAAADwAAAGRycy9kb3ducmV2LnhtbEWPQWvCQBSE70L/w/IKvUjdpBGrqasHoSXe1Jb2+sg+k9Ds&#10;27i7jem/dwXB4zAz3zDL9WBa0ZPzjWUF6SQBQVxa3XCl4Ovz/XkOwgdkja1lUvBPHtarh9ESc23P&#10;vKf+ECoRIexzVFCH0OVS+rImg35iO+LoHa0zGKJ0ldQOzxFuWvmSJDNpsOG4UGNHm5rK38OfUTCf&#10;Fv2P32a773J2bBdh/Np/nJxST49p8gYi0BDu4Vu70AqyB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8sqJ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尾矿输送管线泄漏情景处置方案</w:t>
                          </w:r>
                        </w:p>
                        <w:p>
                          <w:pPr>
                            <w:ind w:firstLine="560"/>
                          </w:pPr>
                        </w:p>
                      </w:txbxContent>
                    </v:textbox>
                  </v:shape>
                  <v:shape id="_x0000_s1026" o:spid="_x0000_s1026" o:spt="202" type="#_x0000_t202" style="position:absolute;left:14805;top:8718;height:2495;width:1005;" fillcolor="#FFFFFF" filled="t" stroked="t" coordsize="21600,21600" o:gfxdata="UEsDBAoAAAAAAIdO4kAAAAAAAAAAAAAAAAAEAAAAZHJzL1BLAwQUAAAACACHTuJAavfwxLoAAADb&#10;AAAADwAAAGRycy9kb3ducmV2LnhtbEVPy4rCMBTdC/5DuIIb0VRHfFSji4ER3Y0PdHtprm2xualJ&#10;rM7fm8WAy8N5L9cvU4mGnC8tKxgOEhDEmdUl5wpOx5/+DIQPyBory6TgjzysV+3WElNtn7yn5hBy&#10;EUPYp6igCKFOpfRZQQb9wNbEkbtaZzBE6HKpHT5juKnkKEkm0mDJsaHAmr4Lym6Hh1EwG2+bi999&#10;/Z6zybWah9602dydUt3OMFmACPQKH/G/e6sVjOP6+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9/D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回水管线泄漏情景处置方案</w:t>
                          </w:r>
                        </w:p>
                      </w:txbxContent>
                    </v:textbox>
                  </v:shape>
                  <v:shape id="_x0000_s1026" o:spid="_x0000_s1026" o:spt="202" type="#_x0000_t202" style="position:absolute;left:16162;top:8718;height:2477;width:989;"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尾矿库溃坝情景处置方案</w:t>
                          </w:r>
                        </w:p>
                        <w:p>
                          <w:pPr>
                            <w:ind w:firstLine="560"/>
                          </w:pPr>
                        </w:p>
                      </w:txbxContent>
                    </v:textbox>
                  </v:shape>
                  <v:shape id="_x0000_s1026" o:spid="_x0000_s1026" o:spt="202" type="#_x0000_t202" style="position:absolute;left:10820;top:8744;height:2481;width:1022;" fillcolor="#FFFFFF" filled="t" stroked="t" coordsize="21600,21600" o:gfxdata="UEsDBAoAAAAAAIdO4kAAAAAAAAAAAAAAAAAEAAAAZHJzL1BLAwQUAAAACACHTuJA3zSgorsAAADb&#10;AAAADwAAAGRycy9kb3ducmV2LnhtbEVPu27CMBTdkfoP1q3UBYGTFqU0YDJUakU3HhVdr+xLEhFf&#10;p7Yb4O/xUInx6LyX1cV2YiAfWscK8mkGglg703Kt4Hv/MZmDCBHZYOeYFFwpQLV6GC2xNO7MWxp2&#10;sRYphEOJCpoY+1LKoBuyGKauJ07c0XmLMUFfS+PxnMJtJ5+zrJAWW04NDfb03pA+7f6sgvlsPfyE&#10;r5fNQRfH7i2OX4fPX6/U02OeLUBEusS7+N+9NgqKNDZ9ST9Ar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zSgo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0" w:firstLineChars="0"/>
                            <w:jc w:val="center"/>
                            <w:rPr>
                              <w:sz w:val="21"/>
                              <w:szCs w:val="21"/>
                            </w:rPr>
                          </w:pPr>
                          <w:r>
                            <w:rPr>
                              <w:rFonts w:hint="eastAsia"/>
                              <w:sz w:val="21"/>
                              <w:szCs w:val="21"/>
                            </w:rPr>
                            <w:t>尾矿库渗滤液溢出外排情景处置方案</w:t>
                          </w:r>
                        </w:p>
                      </w:txbxContent>
                    </v:textbox>
                  </v:shape>
                </v:group>
                <v:group id="_x0000_s1026" o:spid="_x0000_s1026" o:spt="203" style="position:absolute;left:7599;top:2512;height:8841;width:9874;" coordorigin="7532,2512" coordsize="9874,8841" o:gfxdata="UEsDBAoAAAAAAIdO4kAAAAAAAAAAAAAAAAAEAAAAZHJzL1BLAwQUAAAACACHTuJAz3RJWr8AAADb&#10;AAAADwAAAGRycy9kb3ducmV2LnhtbEWPQWvCQBSE70L/w/IK3ppNlNqSuoYSVDxIoUmh9PbIPpNg&#10;9m3Iron++26h4HGYmW+YdXY1nRhpcK1lBUkUgyCurG65VvBV7p5eQTiPrLGzTApu5CDbPMzWmGo7&#10;8SeNha9FgLBLUUHjfZ9K6aqGDLrI9sTBO9nBoA9yqKUecApw08lFHK+kwZbDQoM95Q1V5+JiFOwn&#10;nN6XyXY8nk/57ad8/vg+JqTU/DGJ30B4uvp7+L990ApeV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PdElavwAAANs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12518;top:3099;height:571;width:1205;" fillcolor="#FFFFFF" filled="t" stroked="f" coordsize="21600,21600" o:gfxdata="UEsDBAoAAAAAAIdO4kAAAAAAAAAAAAAAAAAEAAAAZHJzL1BLAwQUAAAACACHTuJAcTMZGLgAAADb&#10;AAAADwAAAGRycy9kb3ducmV2LnhtbEWPzQrCMBCE74LvEFbwIpr6r9UoKChe/XmAtVnbYrMpTbT6&#10;9kYQPA4z8w2zXL9MIZ5Uudyygn4vAkGcWJ1zquBy3nVnIJxH1lhYJgVvcrBeNRtLjLWt+UjPk09F&#10;gLCLUUHmfRlL6ZKMDLqeLYmDd7OVQR9klUpdYR3gppCDKJpIgzmHhQxL2maU3E8Po+B2qDvjeX3d&#10;+8v0OJpsMJ9e7VupdqsfLUB4evl/+Nc+aAWjI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TMZGL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ind w:firstLine="0" w:firstLineChars="0"/>
                          </w:pPr>
                          <w:r>
                            <w:rPr>
                              <w:rFonts w:hint="eastAsia"/>
                              <w:sz w:val="21"/>
                              <w:szCs w:val="21"/>
                            </w:rPr>
                            <w:t>提供依据</w:t>
                          </w:r>
                        </w:p>
                      </w:txbxContent>
                    </v:textbox>
                  </v:shape>
                  <v:group id="_x0000_s1026" o:spid="_x0000_s1026" o:spt="203" style="position:absolute;left:7532;top:2512;height:8841;width:9874;" coordorigin="7532,2512" coordsize="9874,8841" o:gfxdata="UEsDBAoAAAAAAIdO4kAAAAAAAAAAAAAAAAAEAAAAZHJzL1BLAwQUAAAACACHTuJAP6bXLb0AAADb&#10;AAAADwAAAGRycy9kb3ducmV2LnhtbEWPQYvCMBSE7wv+h/CEva1pXVylGkVExYMsWAXx9miebbF5&#10;KU1s9d8bYWGPw8x8w8wWD1OJlhpXWlYQDyIQxJnVJecKTsfN1wSE88gaK8uk4EkOFvPexwwTbTs+&#10;UJv6XAQIuwQVFN7XiZQuK8igG9iaOHhX2xj0QTa51A12AW4qOYyiH2mw5LBQYE2rgrJbejcKth12&#10;y+943e5v19Xzchz9nvcxKfXZj6MpCE8P/x/+a++0gv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6bXLb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10306;top:3653;height:481;width:1220;" fillcolor="#FFFFFF" filled="t" stroked="f" coordsize="21600,21600" o:gfxdata="UEsDBAoAAAAAAIdO4kAAAAAAAAAAAAAAAAAEAAAAZHJzL1BLAwQUAAAACACHTuJAtqtRib0AAADb&#10;AAAADwAAAGRycy9kb3ducmV2LnhtbEWP0WrCQBRE3wX/YbmFvkjdpK2xpm4CLVTyavQDrtlrEsze&#10;DdnVmL/vFoQ+DjNzhtnmd9OJGw2utawgXkYgiCurW64VHA8/Lx8gnEfW2FkmBRM5yLP5bIuptiPv&#10;6Vb6WgQIuxQVNN73qZSuasigW9qeOHhnOxj0QQ611AOOAW46+RpFiTTYclhosKfvhqpLeTUKzsW4&#10;WG3G084f1/v35Avb9clOSj0/xdEnCE93/x9+tAut4C2Gvy/hB8js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q1GJ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pPr>
                              <w:ind w:firstLine="0" w:firstLineChars="0"/>
                              <w:rPr>
                                <w:sz w:val="20"/>
                                <w:szCs w:val="21"/>
                              </w:rPr>
                            </w:pPr>
                            <w:r>
                              <w:rPr>
                                <w:rFonts w:hint="eastAsia"/>
                                <w:sz w:val="20"/>
                                <w:szCs w:val="21"/>
                              </w:rPr>
                              <w:t>相互协作</w:t>
                            </w:r>
                          </w:p>
                          <w:p>
                            <w:pPr>
                              <w:pStyle w:val="30"/>
                              <w:ind w:left="560" w:firstLine="560"/>
                            </w:pPr>
                          </w:p>
                        </w:txbxContent>
                      </v:textbox>
                    </v:shape>
                    <v:group id="_x0000_s1026" o:spid="_x0000_s1026" o:spt="203" style="position:absolute;left:7532;top:2512;height:8841;width:9874;" coordorigin="7532,2512" coordsize="9874,8841" o:gfxdata="UEsDBAoAAAAAAIdO4kAAAAAAAAAAAAAAAAAEAAAAZHJzL1BLAwQUAAAACACHTuJAUOpytr8AAADb&#10;AAAADwAAAGRycy9kb3ducmV2LnhtbEWPzWrDMBCE74W8g9hCbo3s/LTFjWxCSEIPptCkUHpbrI1t&#10;Yq2Mpdjx21eBQo/DzHzDrLObaURPnastK4hnEQjiwuqaSwVfp/3TKwjnkTU2lknBSA6ydPKwxkTb&#10;gT+pP/pSBAi7BBVU3reJlK6oyKCb2ZY4eGfbGfRBdqXUHQ4Bbho5j6JnabDmsFBhS9uKisvxahQc&#10;Bhw2i3jX55fzdvw5rT6+85iUmj7G0RsITzf/H/5rv2sFL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Q6nK2vwAAANs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10336;top:4296;height:481;width:1220;" fillcolor="#FFFFFF" filled="t" stroked="f" coordsize="21600,21600" o:gfxdata="UEsDBAoAAAAAAIdO4kAAAAAAAAAAAAAAAAAEAAAAZHJzL1BLAwQUAAAACACHTuJARnnP/rgAAADb&#10;AAAADwAAAGRycy9kb3ducmV2LnhtbEWPzQrCMBCE74LvEFbwIpr6r9UoKChe/XmAtVnbYrMpTbT6&#10;9kYQPA4z8w2zXL9MIZ5Uudyygn4vAkGcWJ1zquBy3nVnIJxH1lhYJgVvcrBeNRtLjLWt+UjPk09F&#10;gLCLUUHmfRlL6ZKMDLqeLYmDd7OVQR9klUpdYR3gppCDKJpIgzmHhQxL2maU3E8Po+B2qDvjeX3d&#10;+8v0OJpsMJ9e7VupdqsfLUB4evl/+Nc+aAXDA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nP/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ind w:firstLine="0" w:firstLineChars="0"/>
                                <w:rPr>
                                  <w:sz w:val="24"/>
                                </w:rPr>
                              </w:pPr>
                              <w:r>
                                <w:rPr>
                                  <w:rFonts w:hint="eastAsia"/>
                                  <w:sz w:val="20"/>
                                  <w:szCs w:val="21"/>
                                </w:rPr>
                                <w:t>相互联动</w:t>
                              </w:r>
                            </w:p>
                          </w:txbxContent>
                        </v:textbox>
                      </v:shape>
                      <v:group id="_x0000_s1026" o:spid="_x0000_s1026" o:spt="203" style="position:absolute;left:7532;top:2512;height:8841;width:9874;" coordorigin="7532,2512" coordsize="9874,8841" o:gfxdata="UEsDBAoAAAAAAIdO4kAAAAAAAAAAAAAAAAAEAAAAZHJzL1BLAwQUAAAACACHTuJA3wPqwr0AAADb&#10;AAAADwAAAGRycy9kb3ducmV2LnhtbEWPQYvCMBSE74L/ITzB25pW2V2pRhFR2YMsbBXE26N5tsXm&#10;pTSx1X9vhAWPw8x8w8yXd1OJlhpXWlYQjyIQxJnVJecKjoftxxSE88gaK8uk4EEOlot+b46Jth3/&#10;UZv6XAQIuwQVFN7XiZQuK8igG9maOHgX2xj0QTa51A12AW4qOY6iL2mw5LBQYE3rgrJrejMKdh12&#10;q0m8affXy/pxPnz+nvYxKTUcxNEMhKe7f4f/2z9awf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wPqwr0AAADbAAAADwAAAAAAAAABACAAAAAiAAAAZHJzL2Rvd25yZXYueG1s&#10;UEsBAhQAFAAAAAgAh07iQDMvBZ47AAAAOQAAABUAAAAAAAAAAQAgAAAADAEAAGRycy9ncm91cHNo&#10;YXBleG1sLnhtbFBLBQYAAAAABgAGAGABAADJAwAAAAA=&#10;">
                        <o:lock v:ext="edit" aspectratio="f"/>
                        <v:rect id="_x0000_s1026" o:spid="_x0000_s1026" o:spt="1" style="position:absolute;left:7892;top:8265;height:3088;width:9514;" filled="f" stroked="t" coordsize="21600,21600" o:gfxdata="UEsDBAoAAAAAAIdO4kAAAAAAAAAAAAAAAAAEAAAAZHJzL1BLAwQUAAAACACHTuJAJwHob7oAAADb&#10;AAAADwAAAGRycy9kb3ducmV2LnhtbEWPS2sCMRSF94X+h3AL3RRNtDIMU6OLouBKqApuL8ntzNDk&#10;Zkji6983guDycB4fZ768eifOFFMfWMNkrEAQm2B7bjUc9utRDSJlZIsuMGm4UYLl4vVljo0NF/6h&#10;8y63ooxwalBDl/PQSJlMRx7TOAzExfsN0WMuMrbSRryUce/kVKlKeuy5EDoc6Lsj87c7+QIxq5Ny&#10;G7dd8+1Y5Wpm4gfXWr+/TdQXiEzX/Aw/2hurofqE+5fyA+Ti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AehvugAAANsA&#10;AAAPAAAAAAAAAAEAIAAAACIAAABkcnMvZG93bnJldi54bWxQSwECFAAUAAAACACHTuJAMy8FnjsA&#10;AAA5AAAAEAAAAAAAAAABACAAAAAJAQAAZHJzL3NoYXBleG1sLnhtbFBLBQYAAAAABgAGAFsBAACz&#10;AwAAAAA=&#10;">
                          <v:fill on="f" focussize="0,0"/>
                          <v:stroke color="#000000" joinstyle="miter" dashstyle="dash"/>
                          <v:imagedata o:title=""/>
                          <o:lock v:ext="edit" aspectratio="f"/>
                        </v:rect>
                        <v:group id="_x0000_s1026" o:spid="_x0000_s1026" o:spt="203" style="position:absolute;left:7532;top:2512;height:6216;width:9208;" coordorigin="7532,2512" coordsize="9208,6216" o:gfxdata="UEsDBAoAAAAAAIdO4kAAAAAAAAAAAAAAAAAEAAAAZHJzL1BLAwQUAAAACACHTuJAsE9PWb8AAADb&#10;AAAADwAAAGRycy9kb3ducmV2LnhtbEWPQWvCQBSE70L/w/IKvekmEbWkrqFILR5CwVgovT2yzySY&#10;fRuy28T8+26h4HGYmW+YbXYzrRiod41lBfEiAkFcWt1wpeDzfJg/g3AeWWNrmRRM5CDbPcy2mGo7&#10;8omGwlciQNilqKD2vkuldGVNBt3CdsTBu9jeoA+yr6TucQxw08okitbSYMNhocaO9jWV1+LHKHgf&#10;cXxdxm9Dfr3sp+/z6uMrj0mpp8c4egHh6ebv4f/2USvYJP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wT09ZvwAAANsAAAAPAAAAAAAAAAEAIAAAACIAAABkcnMvZG93bnJldi54&#10;bWxQSwECFAAUAAAACACHTuJAMy8FnjsAAAA5AAAAFQAAAAAAAAABACAAAAAOAQAAZHJzL2dyb3Vw&#10;c2hhcGV4bWwueG1sUEsFBgAAAAAGAAYAYAEAAMsDAAAAAA==&#10;">
                          <o:lock v:ext="edit" aspectratio="f"/>
                          <v:line id="_x0000_s1026" o:spid="_x0000_s1026" o:spt="20" style="position:absolute;left:10308;top:4373;flip:x y;height:17;width:1232;" filled="f" stroked="t" coordsize="21600,21600" o:gfxdata="UEsDBAoAAAAAAIdO4kAAAAAAAAAAAAAAAAAEAAAAZHJzL1BLAwQUAAAACACHTuJAGZAQ7b0AAADb&#10;AAAADwAAAGRycy9kb3ducmV2LnhtbEWPQWsCMRSE70L/Q3gFbzWxipTtZoVaBaV40Irnx+Z1s+3m&#10;ZdmkuvrrTaHgcZiZb5h83rtGnKgLtWcN45ECQVx6U3Ol4fC5enoBESKywcYzabhQgHnxMMgxM/7M&#10;OzrtYyUShEOGGmyMbSZlKC05DCPfEifvy3cOY5JdJU2H5wR3jXxWaiYd1pwWLLa0sFT+7H+dBunc&#10;US2P34cl2o+F306vm/7tXevh41i9gojUx3v4v702GiYT+PuSfoAs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kBDt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10338;top:4104;height:1;width:1203;" filled="f" stroked="t" coordsize="21600,21600" o:gfxdata="UEsDBAoAAAAAAIdO4kAAAAAAAAAAAAAAAAAEAAAAZHJzL1BLAwQUAAAACACHTuJABgGXZ78AAADb&#10;AAAADwAAAGRycy9kb3ducmV2LnhtbEWPQWvCQBSE70L/w/IKvRSzUatI6uqhRdBSD0bF6yP7kg3N&#10;vg3ZrUn/fbdQ8DjMzDfMajPYRtyo87VjBZMkBUFcOF1zpeB82o6XIHxA1tg4JgU/5GGzfhitMNOu&#10;5yPd8lCJCGGfoQITQptJ6QtDFn3iWuLola6zGKLsKqk77CPcNnKapgtpsea4YLClN0PFV/5tFVSX&#10;fq93n9e8bC7vp4/5szEHOyj19DhJX0EEGsI9/N/eaQWzF/j7En+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Bl2e/&#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10871;top:5336;height:303;width:1;" filled="f" stroked="t" coordsize="21600,21600" o:gfxdata="UEsDBAoAAAAAAIdO4kAAAAAAAAAAAAAAAAAEAAAAZHJzL1BLAwQUAAAACACHTuJAaU0y/L4AAADb&#10;AAAADwAAAGRycy9kb3ducmV2LnhtbEWPQWvCQBSE7wX/w/IEL6IbFUtJs3pQCir10Fjx+si+ZEOz&#10;b0N2a+K/7xYKPQ4z8w2TbQfbiDt1vnasYDFPQBAXTtdcKfi8vM1eQPiArLFxTAoe5GG7GT1lmGrX&#10;8wfd81CJCGGfogITQptK6QtDFv3ctcTRK11nMUTZVVJ32Ee4beQySZ6lxZrjgsGWdoaKr/zbKqiu&#10;/VEf3m952Vz3l9N6aszZDkpNxovkFUSgIfyH/9oHrWC1h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0y/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0459;top:2512;height:606;width:4391;" fillcolor="#FFFFFF" filled="t" stroked="t" coordsize="21600,21600" o:gfxdata="UEsDBAoAAAAAAIdO4kAAAAAAAAAAAAAAAAAEAAAAZHJzL1BLAwQUAAAACACHTuJAFcz2x74AAADb&#10;AAAADwAAAGRycy9kb3ducmV2LnhtbEWPT2sCMRTE7wW/Q3hCL0Wztou160YPQou96Vrs9bF5+wc3&#10;L2uSrvbbNwXB4zAzv2Hy9dV0YiDnW8sKZtMEBHFpdcu1gq/D+2QBwgdkjZ1lUvBLHtar0UOOmbYX&#10;3tNQhFpECPsMFTQh9JmUvmzIoJ/anjh6lXUGQ5SultrhJcJNJ5+TZC4NthwXGuxp01B5Kn6MgkW6&#10;Hb7958vuWM6r7i08vQ4fZ6fU43iWLEEEuoZ7+NbeagVp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cz2x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0" w:firstLineChars="0"/>
                                    <w:jc w:val="center"/>
                                    <w:rPr>
                                      <w:rFonts w:cs="仿宋"/>
                                      <w:sz w:val="21"/>
                                      <w:szCs w:val="21"/>
                                    </w:rPr>
                                  </w:pPr>
                                  <w:r>
                                    <w:rPr>
                                      <w:rFonts w:hint="eastAsia" w:cs="仿宋"/>
                                      <w:sz w:val="21"/>
                                      <w:szCs w:val="21"/>
                                    </w:rPr>
                                    <w:t>西双版纳州、云南省突发环境事件应急预案</w:t>
                                  </w:r>
                                </w:p>
                              </w:txbxContent>
                            </v:textbox>
                          </v:shape>
                          <v:shape id="_x0000_s1026" o:spid="_x0000_s1026" o:spt="202" type="#_x0000_t202" style="position:absolute;left:11526;top:3656;height:1300;width:2366;"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80" w:lineRule="exact"/>
                                    <w:ind w:firstLine="0" w:firstLineChars="0"/>
                                    <w:jc w:val="center"/>
                                    <w:rPr>
                                      <w:rFonts w:cs="仿宋"/>
                                      <w:sz w:val="20"/>
                                      <w:szCs w:val="21"/>
                                    </w:rPr>
                                  </w:pPr>
                                  <w:r>
                                    <w:rPr>
                                      <w:rFonts w:hint="eastAsia" w:cs="仿宋"/>
                                      <w:sz w:val="20"/>
                                      <w:szCs w:val="21"/>
                                    </w:rPr>
                                    <w:t>云南安宁泰源工贸集团有限公司景洪分公司突发环境事件应急预案</w:t>
                                  </w:r>
                                </w:p>
                              </w:txbxContent>
                            </v:textbox>
                          </v:shape>
                          <v:shape id="_x0000_s1026" o:spid="_x0000_s1026" o:spt="202" type="#_x0000_t202" style="position:absolute;left:13173;top:7116;height:909;width:3521;"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80" w:lineRule="exact"/>
                                    <w:ind w:firstLine="0" w:firstLineChars="0"/>
                                    <w:jc w:val="center"/>
                                    <w:rPr>
                                      <w:rFonts w:cs="仿宋"/>
                                      <w:sz w:val="20"/>
                                      <w:szCs w:val="21"/>
                                    </w:rPr>
                                  </w:pPr>
                                  <w:r>
                                    <w:rPr>
                                      <w:rFonts w:hint="eastAsia" w:cs="仿宋"/>
                                      <w:sz w:val="20"/>
                                      <w:szCs w:val="21"/>
                                    </w:rPr>
                                    <w:t>云南安宁泰源工贸集团有限公司景洪分公司尾矿库突发环境事件应急预案</w:t>
                                  </w:r>
                                </w:p>
                              </w:txbxContent>
                            </v:textbox>
                          </v:shape>
                          <v:shape id="_x0000_s1026" o:spid="_x0000_s1026" o:spt="202" type="#_x0000_t202" style="position:absolute;left:7532;top:3672;height:1319;width:2730;" fillcolor="#FFFFFF" filled="t" stroked="t" coordsize="21600,21600" o:gfxdata="UEsDBAoAAAAAAIdO4kAAAAAAAAAAAAAAAAAEAAAAZHJzL1BLAwQUAAAACACHTuJA5R5osL4AAADb&#10;AAAADwAAAGRycy9kb3ducmV2LnhtbEWPQWvCQBSE74L/YXlCL1I3sRJtdPUgWNJbq9JeH9lnEsy+&#10;jbvbmP77bqHQ4zAz3zCb3WBa0ZPzjWUF6SwBQVxa3XCl4Hw6PK5A+ICssbVMCr7Jw247Hm0w1/bO&#10;79QfQyUihH2OCuoQulxKX9Zk0M9sRxy9i3UGQ5SuktrhPcJNK+dJkkmDDceFGjva11Rej19GwWpR&#10;9J/+9ento8wu7XOYLvuXm1PqYZImaxCBhvAf/msXWsFiCb9f4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R5os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0" w:firstLineChars="0"/>
                                    <w:rPr>
                                      <w:rFonts w:cs="仿宋"/>
                                      <w:sz w:val="18"/>
                                      <w:szCs w:val="21"/>
                                    </w:rPr>
                                  </w:pPr>
                                  <w:r>
                                    <w:rPr>
                                      <w:rFonts w:hint="eastAsia" w:cs="仿宋"/>
                                      <w:sz w:val="18"/>
                                      <w:szCs w:val="21"/>
                                    </w:rPr>
                                    <w:t>选矿厂（尾矿库）、云南安宁泰源工贸集团有限公司景洪分公司突发环境事件应急预案</w:t>
                                  </w:r>
                                </w:p>
                              </w:txbxContent>
                            </v:textbox>
                          </v:shape>
                          <v:shape id="_x0000_s1026" o:spid="_x0000_s1026" o:spt="202" type="#_x0000_t202" style="position:absolute;left:9499;top:5654;height:926;width:2987;" fillcolor="#FFFFFF" filled="t" stroked="t" coordsize="21600,21600" o:gfxdata="UEsDBAoAAAAAAIdO4kAAAAAAAAAAAAAAAAAEAAAAZHJzL1BLAwQUAAAACACHTuJAlIH8wroAAADb&#10;AAAADwAAAGRycy9kb3ducmV2LnhtbEVPy4rCMBTdC/5DuIIb0VRHfFSji4ER3Y0PdHtprm2xualJ&#10;rM7fm8WAy8N5L9cvU4mGnC8tKxgOEhDEmdUl5wpOx5/+DIQPyBory6TgjzysV+3WElNtn7yn5hBy&#10;EUPYp6igCKFOpfRZQQb9wNbEkbtaZzBE6HKpHT5juKnkKEkm0mDJsaHAmr4Lym6Hh1EwG2+bi999&#10;/Z6zybWah9602dydUt3OMFmACPQKH/G/e6sVjOPY+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gfzC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pacing w:line="280" w:lineRule="exact"/>
                                    <w:ind w:firstLine="0" w:firstLineChars="0"/>
                                    <w:jc w:val="center"/>
                                    <w:rPr>
                                      <w:rFonts w:cs="仿宋"/>
                                      <w:sz w:val="21"/>
                                      <w:szCs w:val="21"/>
                                    </w:rPr>
                                  </w:pPr>
                                  <w:r>
                                    <w:rPr>
                                      <w:rFonts w:hint="eastAsia" w:cs="仿宋"/>
                                      <w:sz w:val="21"/>
                                      <w:szCs w:val="21"/>
                                    </w:rPr>
                                    <w:t>云南安宁泰源工贸集团有限公司景洪分公司生产安全事故应急预案</w:t>
                                  </w:r>
                                </w:p>
                              </w:txbxContent>
                            </v:textbox>
                          </v:shape>
                          <v:shape id="_x0000_s1026" o:spid="_x0000_s1026" o:spt="202" type="#_x0000_t202" style="position:absolute;left:13294;top:5654;height:926;width:3188;" fillcolor="#FFFFFF" filled="t" stroked="t" coordsize="21600,21600" o:gfxdata="UEsDBAoAAAAAAIdO4kAAAAAAAAAAAAAAAAAEAAAAZHJzL1BLAwQUAAAACACHTuJA+81ZWb4AAADb&#10;AAAADwAAAGRycy9kb3ducmV2LnhtbEWPQWvCQBSE70L/w/IKvUjdpJVUU1cPQku8qS3t9ZF9JqHZ&#10;t3F3G+O/dwXB4zAz3zCL1WBa0ZPzjWUF6SQBQVxa3XCl4Pvr43kGwgdkja1lUnAmD6vlw2iBubYn&#10;3lG/D5WIEPY5KqhD6HIpfVmTQT+xHXH0DtYZDFG6SmqHpwg3rXxJkkwabDgu1NjRuqbyb/9vFMym&#10;Rf/rN6/bnzI7tPMwfus/j06pp8c0eQcRaAj38K1daAXTOVy/xB8gl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1ZW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80" w:lineRule="exact"/>
                                    <w:ind w:firstLine="0" w:firstLineChars="0"/>
                                    <w:jc w:val="center"/>
                                    <w:rPr>
                                      <w:rFonts w:cs="仿宋"/>
                                      <w:sz w:val="21"/>
                                      <w:szCs w:val="21"/>
                                    </w:rPr>
                                  </w:pPr>
                                  <w:r>
                                    <w:rPr>
                                      <w:rFonts w:hint="eastAsia" w:cs="仿宋"/>
                                      <w:sz w:val="21"/>
                                      <w:szCs w:val="21"/>
                                    </w:rPr>
                                    <w:t>云南安宁泰源工贸集团有限公司景洪分公司突发环境事件应急预案</w:t>
                                  </w:r>
                                </w:p>
                              </w:txbxContent>
                            </v:textbox>
                          </v:shape>
                          <v:line id="_x0000_s1026" o:spid="_x0000_s1026" o:spt="20" style="position:absolute;left:14775;top:5354;flip:x;height:303;width:14;" filled="f" stroked="t" coordsize="21600,21600" o:gfxdata="UEsDBAoAAAAAAIdO4kAAAAAAAAAAAAAAAAAEAAAAZHJzL1BLAwQUAAAACACHTuJA/iKfr7oAAADb&#10;AAAADwAAAGRycy9kb3ducmV2LnhtbEVPTWvCQBC9F/wPywi9SN0oWEvq6kGwSG+uotdpdkyi2dmQ&#10;nWr677sHwePjfS9WvW/UjbpYBzYwGWegiIvgai4NHPabtw9QUZAdNoHJwB9FWC0HLwvMXbjzjm5W&#10;SpVCOOZooBJpc61jUZHHOA4tceLOofMoCXaldh3eU7hv9DTL3rXHmlNDhS2tKyqu9tcb+PoW+dkf&#10;Whldz0d7OY3WvZ1bY16Hk+wTlFAvT/HDvXUGZml9+pJ+gF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p+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line>
                          <v:line id="_x0000_s1026" o:spid="_x0000_s1026" o:spt="20" style="position:absolute;left:14805;top:6586;height:553;width:1;" filled="f" stroked="t" coordsize="21600,21600" o:gfxdata="UEsDBAoAAAAAAIdO4kAAAAAAAAAAAAAAAAAEAAAAZHJzL1BLAwQUAAAACACHTuJAy6nRX74AAADb&#10;AAAADwAAAGRycy9kb3ducmV2LnhtbEWPQWvCQBSE7wX/w/IEL0U3ESySZvVQEVTaQ6PS6yP7kg3N&#10;vg3Z1cR/3y0Uehxm5hsm3462FXfqfeNYQbpIQBCXTjdcK7ic9/M1CB+QNbaOScGDPGw3k6ccM+0G&#10;/qR7EWoRIewzVGBC6DIpfWnIol+4jjh6lesthij7Wuoehwi3rVwmyYu02HBcMNjRm6Hyu7hZBfV1&#10;OOrD+1dRtdfd+bR6NubDjkrNpmnyCiLQGP7Df+2DVrBK4fdL/AFy8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6nRX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0871;top:5354;height:1;width:3934;" filled="f" stroked="t" coordsize="21600,21600" o:gfxdata="UEsDBAoAAAAAAIdO4kAAAAAAAAAAAAAAAAAEAAAAZHJzL1BLAwQUAAAACACHTuJATyBlbroAAADb&#10;AAAADwAAAGRycy9kb3ducmV2LnhtbEVPy4rCMBTdC/5DuIIb0UQHRa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IGVu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14820;top:8032;height:428;width:1;" filled="f" stroked="t" coordsize="21600,21600" o:gfxdata="UEsDBAoAAAAAAIdO4kAAAAAAAAAAAAAAAAAEAAAAZHJzL1BLAwQUAAAACACHTuJAfzqj1bkAAADb&#10;AAAADwAAAGRycy9kb3ducmV2LnhtbEVPy4rCMBTdC/5DuIIbGRMVRDrGLtSCCzfqDG4vzZ22THPT&#10;NvH59WYhuDyc9zK921pcqfOVYw2TsQJBnDtTcaHh55R9LUD4gGywdkwaHuQhXfV7S0yMu/GBrsdQ&#10;iBjCPkENZQhNIqXPS7Lox64hjtyf6yyGCLtCmg5vMdzWcqrUXFqsODaU2NC6pPz/eLEafPZLbfYc&#10;5SN1nhWOpu1mv0Wth4OJ+gYR6B4+4rd7ZzTM4/r4Jf4A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86o9W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12609;top:4979;height:411;width:1;" filled="f" stroked="t" coordsize="21600,21600" o:gfxdata="UEsDBAoAAAAAAIdO4kAAAAAAAAAAAAAAAAAEAAAAZHJzL1BLAwQUAAAACACHTuJABcUb4r4AAADb&#10;AAAADwAAAGRycy9kb3ducmV2LnhtbEWPQWvCQBSE74X+h+UVeil1k4IiMasHS0GlHhorXh/Zl2ww&#10;+zZkVxP/fVcQehxm5hsmX422FVfqfeNYQTpJQBCXTjdcK/g9fL3PQfiArLF1TApu5GG1fH7KMdNu&#10;4B+6FqEWEcI+QwUmhC6T0peGLPqJ64ijV7neYoiyr6XucYhw28qPJJlJiw3HBYMdrQ2V5+JiFdTH&#10;Yas336eiao+fh930zZi9HZV6fUmTBYhAY/gPP9obrWCWwv1L/AF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cUb4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2579;top:3134;flip:y;height:500;width:1;" filled="f" stroked="t" coordsize="21600,21600" o:gfxdata="UEsDBAoAAAAAAIdO4kAAAAAAAAAAAAAAAAAEAAAAZHJzL1BLAwQUAAAACACHTuJAr9Bu/rwAAADb&#10;AAAADwAAAGRycy9kb3ducmV2LnhtbEWPQWvCQBSE74L/YXlCL1I3etASXT0ILdJbV7HX1+wziWbf&#10;huxT03/vCoUeh5n5hlltet+oG3WxDmxgOslAERfB1VwaOOzfX99ARUF22AQmA78UYbMeDlaYu3Dn&#10;L7pZKVWCcMzRQCXS5lrHoiKPcRJa4uSdQudRkuxK7Tq8J7hv9CzL5tpjzWmhwpa2FRUXe/UGPj5F&#10;fvaHVsaX09Gev8fb3i6sMS+jabYEJdTLf/ivvXMG5jN4fkk/QK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Qbv6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group id="_x0000_s1026" o:spid="_x0000_s1026" o:spt="203" style="position:absolute;left:8648;top:8460;height:268;width:8093;" coordorigin="8648,8460" coordsize="8093,268" o:gfxdata="UEsDBAoAAAAAAIdO4kAAAAAAAAAAAAAAAAAEAAAAZHJzL1BLAwQUAAAACACHTuJAQJ3RLr4AAADb&#10;AAAADwAAAGRycy9kb3ducmV2LnhtbEWPT2sCMRTE74V+h/AKvWk2lVpZN0oRLT1IQS2It8fm7R/c&#10;vCybuKvf3giFHoeZ+Q2TLa+2ET11vnasQY0TEMS5MzWXGn4Pm9EMhA/IBhvHpOFGHpaL56cMU+MG&#10;3lG/D6WIEPYpaqhCaFMpfV6RRT92LXH0CtdZDFF2pTQdDhFuG/mWJFNpsea4UGFLq4ry8/5iNXwN&#10;OHxO1LrfnovV7XR4/zluFWn9+qKSOYhA1/Af/mt/Gw0f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Cd0S6+AAAA2wAAAA8AAAAAAAAAAQAgAAAAIgAAAGRycy9kb3ducmV2Lnht&#10;bFBLAQIUABQAAAAIAIdO4kAzLwWeOwAAADkAAAAVAAAAAAAAAAEAIAAAAA0BAABkcnMvZ3JvdXBz&#10;aGFwZXhtbC54bWxQSwUGAAAAAAYABgBgAQAAygMAAAAA&#10;">
                            <o:lock v:ext="edit" aspectratio="f"/>
                            <v:line id="_x0000_s1026" o:spid="_x0000_s1026" o:spt="20" style="position:absolute;left:9941;top:8496;height:232;width:1;" filled="f" stroked="t" coordsize="21600,21600" o:gfxdata="UEsDBAoAAAAAAIdO4kAAAAAAAAAAAAAAAAAEAAAAZHJzL1BLAwQUAAAACACHTuJAO3tPKL4AAADb&#10;AAAADwAAAGRycy9kb3ducmV2LnhtbEWPQWvCQBSE7wX/w/IEL0U3EVJKdM1BKWhpD40Vr4/sMxvM&#10;vg3ZbZL++26h0OMwM98w22KyrRio941jBekqAUFcOd1wreDz/LJ8BuEDssbWMSn4Jg/FbvawxVy7&#10;kT9oKEMtIoR9jgpMCF0upa8MWfQr1xFH7+Z6iyHKvpa6xzHCbSvXSfIkLTYcFwx2tDdU3csvq6C+&#10;jCd9fLuWt/ZyOL9mj8a820mpxTxNNiACTeE//Nc+agXZGn6/xB8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3tPK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1359;top:8496;height:232;width:1;" filled="f" stroked="t" coordsize="21600,21600" o:gfxdata="UEsDBAoAAAAAAIdO4kAAAAAAAAAAAAAAAAAEAAAAZHJzL1BLAwQUAAAACACHTuJAVDfqs74AAADb&#10;AAAADwAAAGRycy9kb3ducmV2LnhtbEWPQWvCQBSE7wX/w/IEL6IbFUtJs3pQCir10Fjx+si+ZEOz&#10;b0N2a+K/7xYKPQ4z8w2TbQfbiDt1vnasYDFPQBAXTtdcKfi8vM1eQPiArLFxTAoe5GG7GT1lmGrX&#10;8wfd81CJCGGfogITQptK6QtDFv3ctcTRK11nMUTZVVJ32Ee4beQySZ6lxZrjgsGWdoaKr/zbKqiu&#10;/VEf3m952Vz3l9N6aszZDkpNxovkFUSgIfyH/9oHrWC9g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Dfqs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2762;top:8478;height:232;width:1;" filled="f" stroked="t" coordsize="21600,21600" o:gfxdata="UEsDBAoAAAAAAIdO4kAAAAAAAAAAAAAAAAAEAAAAZHJzL1BLAwQUAAAACACHTuJA295yx74AAADb&#10;AAAADwAAAGRycy9kb3ducmV2LnhtbEWPQWvCQBSE7wX/w/IEL6IbRUtJs3pQCir10Fjx+si+ZEOz&#10;b0N2a+K/7xYKPQ4z8w2TbQfbiDt1vnasYDFPQBAXTtdcKfi8vM1eQPiArLFxTAoe5GG7GT1lmGrX&#10;8wfd81CJCGGfogITQptK6QtDFv3ctcTRK11nMUTZVVJ32Ee4beQySZ6lxZrjgsGWdoaKr/zbKqiu&#10;/VEf3m952Vz3l9N6aszZDkpNxovkFUSgIfyH/9oHrWC9g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5yx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4042;top:8496;height:232;width:1;" filled="f" stroked="t" coordsize="21600,21600" o:gfxdata="UEsDBAoAAAAAAIdO4kAAAAAAAAAAAAAAAAAEAAAAZHJzL1BLAwQUAAAACACHTuJAtJLXXL4AAADb&#10;AAAADwAAAGRycy9kb3ducmV2LnhtbEWPQWvCQBSE7wX/w/IEL0U3CimSZvVQEVTaQ6PS6yP7kg3N&#10;vg3Z1cR/3y0Uehxm5hsm3462FXfqfeNYwXKRgCAunW64VnA57+drED4ga2wdk4IHedhuJk85ZtoN&#10;/En3ItQiQthnqMCE0GVS+tKQRb9wHXH0KtdbDFH2tdQ9DhFuW7lKkhdpseG4YLCjN0Pld3GzCurr&#10;cNSH96+iaq+78yl9NubDjkrNpsvkFUSgMfyH/9oHrSBN4fdL/AFy8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JLXX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5369;top:8460;height:232;width:1;" filled="f" stroked="t" coordsize="21600,21600" o:gfxdata="UEsDBAoAAAAAAIdO4kAAAAAAAAAAAAAAAAAEAAAAZHJzL1BLAwQUAAAACACHTuJAREBJK70AAADb&#10;AAAADwAAAGRycy9kb3ducmV2LnhtbEWPQYvCMBSE7wv+h/AEL4umCspSjR4UQcU9bF3x+mieTbF5&#10;KU209d8bYWGPw8x8wyxWna3EgxpfOlYwHiUgiHOnSy4U/J62wy8QPiBrrByTgid5WC17HwtMtWv5&#10;hx5ZKESEsE9RgQmhTqX0uSGLfuRq4uhdXWMxRNkUUjfYRrit5CRJZtJiyXHBYE1rQ/ktu1sFxbnd&#10;693xkl2r8+Z0mH4a8207pQb9cTIHEagL/+G/9k4rmM7g/SX+ALl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QEkr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16741;top:8460;height:232;width:1;" filled="f" stroked="t" coordsize="21600,21600" o:gfxdata="UEsDBAoAAAAAAIdO4kAAAAAAAAAAAAAAAAAEAAAAZHJzL1BLAwQUAAAACACHTuJAKwzssL8AAADb&#10;AAAADwAAAGRycy9kb3ducmV2LnhtbEWPQWvCQBSE7wX/w/IEL0U3CtaSZvWgFLS0B5OK10f2JRua&#10;fRuyWxP/fbdQ6HGYmW+YbDfaVtyo941jBctFAoK4dLrhWsFn8Tp/BuEDssbWMSm4k4fddvKQYard&#10;wGe65aEWEcI+RQUmhC6V0peGLPqF64ijV7neYoiyr6XucYhw28pVkjxJiw3HBYMd7Q2VX/m3VVBf&#10;hpM+vl/zqr0cirf1ozEfdlRqNl0mLyACjeE//Nc+agXrDfx+iT9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sM7LC/&#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8659;top:8460;flip:y;height:36;width:8082;" filled="f" stroked="t" coordsize="21600,21600" o:gfxdata="UEsDBAoAAAAAAIdO4kAAAAAAAAAAAAAAAAAEAAAAZHJzL1BLAwQUAAAACACHTuJAEWL+37wAAADb&#10;AAAADwAAAGRycy9kb3ducmV2LnhtbEWPQWsCMRSE7wX/Q3iCt5qoWHRrFBEVQSio255fN8/dxc3L&#10;somr/nsjFHocZuYbZra420q01PjSsYZBX4EgzpwpOdeQnjbvExA+IBusHJOGB3lYzDtvM0yMu/GB&#10;2mPIRYSwT1BDEUKdSOmzgiz6vquJo3d2jcUQZZNL0+Atwm0lh0p9SIslx4UCa1oVlF2OV6th+bNf&#10;j77aX+sqM83Tb2NTtR1q3esO1CeIQPfwH/5r74yG8RReX+IPkP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i/t+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8648;top:8486;height:232;width:1;" filled="f" stroked="t" coordsize="21600,21600" o:gfxdata="UEsDBAoAAAAAAIdO4kAAAAAAAAAAAAAAAAAEAAAAZHJzL1BLAwQUAAAACACHTuJA+7MX5L4AAADb&#10;AAAADwAAAGRycy9kb3ducmV2LnhtbEWPQWvCQBSE7wX/w/IEL6IbBaVNs3pQCir10Fjx+si+ZEOz&#10;b0N2a+K/7xYKPQ4z8w2TbQfbiDt1vnasYDFPQBAXTtdcKfi8vM2eQfiArLFxTAoe5GG7GT1lmGrX&#10;8wfd81CJCGGfogITQptK6QtDFv3ctcTRK11nMUTZVVJ32Ee4beQySdbSYs1xwWBLO0PFV/5tFVTX&#10;/qgP77e8bK77y2k1NeZsB6Um40XyCiLQEP7Df+2DVrB+gd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MX5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group>
                        </v:group>
                      </v:group>
                    </v:group>
                  </v:group>
                </v:group>
                <w10:wrap type="topAndBottom"/>
              </v:group>
            </w:pict>
          </mc:Fallback>
        </mc:AlternateContent>
      </w:r>
      <w:r>
        <w:rPr>
          <w:rFonts w:cs="Times New Roman"/>
          <w:b/>
          <w:bCs/>
          <w:color w:val="000000" w:themeColor="text1"/>
          <w14:textFill>
            <w14:solidFill>
              <w14:schemeClr w14:val="tx1"/>
            </w14:solidFill>
          </w14:textFill>
        </w:rPr>
        <w:t>图1.6-1</w:t>
      </w:r>
      <w:r>
        <w:rPr>
          <w:rFonts w:hint="eastAsia" w:cs="Times New Roman"/>
          <w:b/>
          <w:bCs/>
          <w:color w:val="000000" w:themeColor="text1"/>
          <w14:textFill>
            <w14:solidFill>
              <w14:schemeClr w14:val="tx1"/>
            </w14:solidFill>
          </w14:textFill>
        </w:rPr>
        <w:t>云南安宁泰源工贸集团有限公司景洪分公司</w:t>
      </w:r>
      <w:r>
        <w:rPr>
          <w:rFonts w:cs="Times New Roman"/>
          <w:b/>
          <w:bCs/>
          <w:color w:val="000000" w:themeColor="text1"/>
          <w14:textFill>
            <w14:solidFill>
              <w14:schemeClr w14:val="tx1"/>
            </w14:solidFill>
          </w14:textFill>
        </w:rPr>
        <w:t>应急预案体系图</w:t>
      </w:r>
    </w:p>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bookmarkStart w:id="33" w:name="_Toc10583"/>
      <w:r>
        <w:rPr>
          <w:rFonts w:ascii="Times New Roman" w:eastAsia="楷体_GB2312" w:cs="Times New Roman"/>
          <w:bCs/>
          <w:color w:val="000000" w:themeColor="text1"/>
          <w:sz w:val="44"/>
          <w:szCs w:val="44"/>
          <w14:textFill>
            <w14:solidFill>
              <w14:schemeClr w14:val="tx1"/>
            </w14:solidFill>
          </w14:textFill>
        </w:rPr>
        <w:br w:type="page"/>
      </w:r>
      <w:bookmarkStart w:id="34" w:name="_Toc43143170"/>
      <w:r>
        <w:rPr>
          <w:rFonts w:ascii="Times New Roman" w:eastAsia="楷体_GB2312" w:cs="Times New Roman"/>
          <w:bCs/>
          <w:color w:val="000000" w:themeColor="text1"/>
          <w:szCs w:val="32"/>
          <w14:textFill>
            <w14:solidFill>
              <w14:schemeClr w14:val="tx1"/>
            </w14:solidFill>
          </w14:textFill>
        </w:rPr>
        <w:t>2项目基本情况</w:t>
      </w:r>
      <w:bookmarkEnd w:id="33"/>
      <w:bookmarkEnd w:id="34"/>
    </w:p>
    <w:p>
      <w:pPr>
        <w:pStyle w:val="18"/>
        <w:rPr>
          <w:color w:val="000000" w:themeColor="text1"/>
          <w14:textFill>
            <w14:solidFill>
              <w14:schemeClr w14:val="tx1"/>
            </w14:solidFill>
          </w14:textFill>
        </w:rPr>
      </w:pPr>
      <w:bookmarkStart w:id="35" w:name="_Toc43143171"/>
      <w:bookmarkStart w:id="36" w:name="_Toc28694"/>
      <w:r>
        <w:rPr>
          <w:color w:val="000000" w:themeColor="text1"/>
          <w14:textFill>
            <w14:solidFill>
              <w14:schemeClr w14:val="tx1"/>
            </w14:solidFill>
          </w14:textFill>
        </w:rPr>
        <w:t>2.1公司基本情况</w:t>
      </w:r>
      <w:bookmarkEnd w:id="35"/>
      <w:bookmarkEnd w:id="36"/>
    </w:p>
    <w:p>
      <w:pPr>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云南安宁泰源工贸集团有限公司景洪分公司成立于2003年04月，建有选矿规模为60万t/a的铁磁选工艺生产线一条，年产铁精矿20万t，选厂的配套设施尾矿库于2003年底建成投入使用，占地11.51hm</w:t>
      </w:r>
      <w:r>
        <w:rPr>
          <w:rFonts w:cs="Times New Roman"/>
          <w:color w:val="000000" w:themeColor="text1"/>
          <w:vertAlign w:val="superscript"/>
          <w14:textFill>
            <w14:solidFill>
              <w14:schemeClr w14:val="tx1"/>
            </w14:solidFill>
          </w14:textFill>
        </w:rPr>
        <w:t>2</w:t>
      </w:r>
      <w:r>
        <w:rPr>
          <w:rFonts w:cs="Times New Roman"/>
          <w:color w:val="000000" w:themeColor="text1"/>
          <w14:textFill>
            <w14:solidFill>
              <w14:schemeClr w14:val="tx1"/>
            </w14:solidFill>
          </w14:textFill>
        </w:rPr>
        <w:t>，有效库容141.2万m</w:t>
      </w:r>
      <w:r>
        <w:rPr>
          <w:rFonts w:cs="Times New Roman"/>
          <w:color w:val="000000" w:themeColor="text1"/>
          <w:vertAlign w:val="superscript"/>
          <w14:textFill>
            <w14:solidFill>
              <w14:schemeClr w14:val="tx1"/>
            </w14:solidFill>
          </w14:textFill>
        </w:rPr>
        <w:t>3</w:t>
      </w:r>
      <w:r>
        <w:rPr>
          <w:rFonts w:cs="Times New Roman"/>
          <w:color w:val="000000" w:themeColor="text1"/>
          <w14:textFill>
            <w14:solidFill>
              <w14:schemeClr w14:val="tx1"/>
            </w14:solidFill>
          </w14:textFill>
        </w:rPr>
        <w:t>，2008年公司对尾矿坝进行贴坡加高后占地面积增至14.91hm</w:t>
      </w:r>
      <w:r>
        <w:rPr>
          <w:rFonts w:cs="Times New Roman"/>
          <w:color w:val="000000" w:themeColor="text1"/>
          <w:vertAlign w:val="superscript"/>
          <w14:textFill>
            <w14:solidFill>
              <w14:schemeClr w14:val="tx1"/>
            </w14:solidFill>
          </w14:textFill>
        </w:rPr>
        <w:t>2</w:t>
      </w:r>
      <w:r>
        <w:rPr>
          <w:rFonts w:cs="Times New Roman"/>
          <w:color w:val="000000" w:themeColor="text1"/>
          <w14:textFill>
            <w14:solidFill>
              <w14:schemeClr w14:val="tx1"/>
            </w14:solidFill>
          </w14:textFill>
        </w:rPr>
        <w:t>，增加有效库容68.70万m</w:t>
      </w:r>
      <w:r>
        <w:rPr>
          <w:rFonts w:cs="Times New Roman"/>
          <w:color w:val="000000" w:themeColor="text1"/>
          <w:vertAlign w:val="superscript"/>
          <w14:textFill>
            <w14:solidFill>
              <w14:schemeClr w14:val="tx1"/>
            </w14:solidFill>
          </w14:textFill>
        </w:rPr>
        <w:t>3</w:t>
      </w:r>
      <w:r>
        <w:rPr>
          <w:rFonts w:cs="Times New Roman"/>
          <w:color w:val="000000" w:themeColor="text1"/>
          <w14:textFill>
            <w14:solidFill>
              <w14:schemeClr w14:val="tx1"/>
            </w14:solidFill>
          </w14:textFill>
        </w:rPr>
        <w:t>。2011年8月公司委托环评单位编制完成《云南安宁泰源工贸集团有限公司景洪分公司曼南坎铁矿尾矿干排技改项目环境影响报告书》；20</w:t>
      </w:r>
      <w:r>
        <w:rPr>
          <w:rFonts w:hint="eastAsia" w:cs="Times New Roman"/>
          <w:color w:val="000000" w:themeColor="text1"/>
          <w14:textFill>
            <w14:solidFill>
              <w14:schemeClr w14:val="tx1"/>
            </w14:solidFill>
          </w14:textFill>
        </w:rPr>
        <w:t>17</w:t>
      </w:r>
      <w:r>
        <w:rPr>
          <w:rFonts w:cs="Times New Roman"/>
          <w:color w:val="000000" w:themeColor="text1"/>
          <w14:textFill>
            <w14:solidFill>
              <w14:schemeClr w14:val="tx1"/>
            </w14:solidFill>
          </w14:textFill>
        </w:rPr>
        <w:t>年</w:t>
      </w:r>
      <w:r>
        <w:rPr>
          <w:rFonts w:hint="eastAsia" w:cs="Times New Roman"/>
          <w:color w:val="000000" w:themeColor="text1"/>
          <w14:textFill>
            <w14:solidFill>
              <w14:schemeClr w14:val="tx1"/>
            </w14:solidFill>
          </w14:textFill>
        </w:rPr>
        <w:t>07</w:t>
      </w:r>
      <w:r>
        <w:rPr>
          <w:rFonts w:cs="Times New Roman"/>
          <w:color w:val="000000" w:themeColor="text1"/>
          <w14:textFill>
            <w14:solidFill>
              <w14:schemeClr w14:val="tx1"/>
            </w14:solidFill>
          </w14:textFill>
        </w:rPr>
        <w:t>月取得</w:t>
      </w:r>
      <w:r>
        <w:rPr>
          <w:rFonts w:hint="eastAsia" w:cs="Times New Roman"/>
          <w:color w:val="000000" w:themeColor="text1"/>
          <w14:textFill>
            <w14:solidFill>
              <w14:schemeClr w14:val="tx1"/>
            </w14:solidFill>
          </w14:textFill>
        </w:rPr>
        <w:t>西双版纳傣族自治州</w:t>
      </w:r>
      <w:r>
        <w:rPr>
          <w:rFonts w:cs="Times New Roman"/>
          <w:color w:val="000000" w:themeColor="text1"/>
          <w14:textFill>
            <w14:solidFill>
              <w14:schemeClr w14:val="tx1"/>
            </w14:solidFill>
          </w14:textFill>
        </w:rPr>
        <w:t>环境保护厅批复“</w:t>
      </w:r>
      <w:r>
        <w:rPr>
          <w:rFonts w:hint="eastAsia" w:cs="Times New Roman"/>
          <w:color w:val="000000" w:themeColor="text1"/>
          <w14:textFill>
            <w14:solidFill>
              <w14:schemeClr w14:val="tx1"/>
            </w14:solidFill>
          </w14:textFill>
        </w:rPr>
        <w:t>西</w:t>
      </w:r>
      <w:r>
        <w:rPr>
          <w:rFonts w:cs="Times New Roman"/>
          <w:color w:val="000000" w:themeColor="text1"/>
          <w14:textFill>
            <w14:solidFill>
              <w14:schemeClr w14:val="tx1"/>
            </w14:solidFill>
          </w14:textFill>
        </w:rPr>
        <w:t>环</w:t>
      </w:r>
      <w:r>
        <w:rPr>
          <w:rFonts w:hint="eastAsia" w:cs="Times New Roman"/>
          <w:color w:val="000000" w:themeColor="text1"/>
          <w14:textFill>
            <w14:solidFill>
              <w14:schemeClr w14:val="tx1"/>
            </w14:solidFill>
          </w14:textFill>
        </w:rPr>
        <w:t>复</w:t>
      </w:r>
      <w:r>
        <w:rPr>
          <w:rFonts w:cs="Times New Roman"/>
          <w:color w:val="000000" w:themeColor="text1"/>
          <w14:textFill>
            <w14:solidFill>
              <w14:schemeClr w14:val="tx1"/>
            </w14:solidFill>
          </w14:textFill>
        </w:rPr>
        <w:t>〔20</w:t>
      </w:r>
      <w:r>
        <w:rPr>
          <w:rFonts w:hint="eastAsia" w:cs="Times New Roman"/>
          <w:color w:val="000000" w:themeColor="text1"/>
          <w14:textFill>
            <w14:solidFill>
              <w14:schemeClr w14:val="tx1"/>
            </w14:solidFill>
          </w14:textFill>
        </w:rPr>
        <w:t>17</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07</w:t>
      </w:r>
      <w:r>
        <w:rPr>
          <w:rFonts w:cs="Times New Roman"/>
          <w:color w:val="000000" w:themeColor="text1"/>
          <w14:textFill>
            <w14:solidFill>
              <w14:schemeClr w14:val="tx1"/>
            </w14:solidFill>
          </w14:textFill>
        </w:rPr>
        <w:t>号”。</w:t>
      </w:r>
      <w:r>
        <w:rPr>
          <w:rFonts w:hint="eastAsia" w:cs="Times New Roman"/>
          <w:color w:val="000000" w:themeColor="text1"/>
          <w14:textFill>
            <w14:solidFill>
              <w14:schemeClr w14:val="tx1"/>
            </w14:solidFill>
          </w14:textFill>
        </w:rPr>
        <w:t>公司在此之前未进行过相关环境应急预案的编制工作，本次编制为第一次编制，因此未进行相关的备案工作。</w:t>
      </w:r>
    </w:p>
    <w:p>
      <w:pPr>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项目选厂位于景洪市勐龙镇曼南坎村，地理坐标：东经100°39′10″、北纬21°34′40″，厂区有简易乡村道路与主公路相接，距勐龙镇人民政府所在地5km，选厂主要从事铁矿石磁选，并对选矿之后的尾矿进行处理。</w:t>
      </w:r>
    </w:p>
    <w:p>
      <w:pPr>
        <w:pStyle w:val="18"/>
        <w:rPr>
          <w:color w:val="000000" w:themeColor="text1"/>
          <w14:textFill>
            <w14:solidFill>
              <w14:schemeClr w14:val="tx1"/>
            </w14:solidFill>
          </w14:textFill>
        </w:rPr>
      </w:pPr>
      <w:bookmarkStart w:id="37" w:name="_Toc9814"/>
      <w:bookmarkStart w:id="38" w:name="_Toc43143172"/>
      <w:r>
        <w:rPr>
          <w:color w:val="000000" w:themeColor="text1"/>
          <w14:textFill>
            <w14:solidFill>
              <w14:schemeClr w14:val="tx1"/>
            </w14:solidFill>
          </w14:textFill>
        </w:rPr>
        <w:t>2.2尾矿库基本情况</w:t>
      </w:r>
      <w:bookmarkEnd w:id="37"/>
      <w:bookmarkEnd w:id="38"/>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w:t>
      </w:r>
      <w:r>
        <w:rPr>
          <w:rFonts w:hint="eastAsia"/>
          <w:color w:val="000000" w:themeColor="text1"/>
          <w14:textFill>
            <w14:solidFill>
              <w14:schemeClr w14:val="tx1"/>
            </w14:solidFill>
          </w14:textFill>
        </w:rPr>
        <w:t>基本情况编制包括尾矿库名称、建设地点、经纬度、尾矿库登记和类别、上游汇水面积、尾矿库周边环境敏感点分布、周边环境状况、工程概况等内容。</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（1）尾矿库名称：云南安宁泰源工贸集团有限公司景洪分公司</w:t>
      </w:r>
      <w:r>
        <w:rPr>
          <w:rFonts w:hint="eastAsia"/>
          <w:color w:val="000000" w:themeColor="text1"/>
          <w14:textFill>
            <w14:solidFill>
              <w14:schemeClr w14:val="tx1"/>
            </w14:solidFill>
          </w14:textFill>
        </w:rPr>
        <w:t>曼南坎铁矿尾矿库。</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（2）尾矿库位置：</w:t>
      </w:r>
      <w:r>
        <w:rPr>
          <w:rFonts w:hint="eastAsia"/>
          <w:color w:val="000000" w:themeColor="text1"/>
          <w14:textFill>
            <w14:solidFill>
              <w14:schemeClr w14:val="tx1"/>
            </w14:solidFill>
          </w14:textFill>
        </w:rPr>
        <w:t>尾矿库位于云南省西双版纳傣族自治州（市）景洪市勐龙镇曼南坎村西部方向的一个山间沟谷内，地理坐标为：东</w:t>
      </w:r>
      <w:r>
        <w:rPr>
          <w:color w:val="000000" w:themeColor="text1"/>
          <w14:textFill>
            <w14:solidFill>
              <w14:schemeClr w14:val="tx1"/>
            </w14:solidFill>
          </w14:textFill>
        </w:rPr>
        <w:t>经</w:t>
      </w:r>
      <w:r>
        <w:rPr>
          <w:rFonts w:hint="eastAsia"/>
          <w:color w:val="000000" w:themeColor="text1"/>
          <w14:textFill>
            <w14:solidFill>
              <w14:schemeClr w14:val="tx1"/>
            </w14:solidFill>
          </w14:textFill>
        </w:rPr>
        <w:t>100°39′10″</w:t>
      </w:r>
      <w:r>
        <w:rPr>
          <w:color w:val="000000" w:themeColor="text1"/>
          <w14:textFill>
            <w14:solidFill>
              <w14:schemeClr w14:val="tx1"/>
            </w14:solidFill>
          </w14:textFill>
        </w:rPr>
        <w:t>、北纬</w:t>
      </w:r>
      <w:r>
        <w:rPr>
          <w:rFonts w:hint="eastAsia"/>
          <w:color w:val="000000" w:themeColor="text1"/>
          <w14:textFill>
            <w14:solidFill>
              <w14:schemeClr w14:val="tx1"/>
            </w14:solidFill>
          </w14:textFill>
        </w:rPr>
        <w:t>21°34′40″，初期坝与选厂直线距离约1.2km。</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（3）尾矿库地形地貌：</w:t>
      </w:r>
      <w:r>
        <w:rPr>
          <w:rFonts w:hint="eastAsia"/>
          <w:color w:val="000000" w:themeColor="text1"/>
          <w14:textFill>
            <w14:solidFill>
              <w14:schemeClr w14:val="tx1"/>
            </w14:solidFill>
          </w14:textFill>
        </w:rPr>
        <w:t>景洪市地处横断山系纵谷区南延尾端，位于澜沧江大断裂带两侧，属山原山，北高南低，山峦叠崎，沟谷纵横。境内山脉走向多由西北至东南，山地面积占总面积的95%，最高海拔在西部的路南山主峰南勒各角，海拔2196m，最低点在东南部南阿河汇江处，海拔485m，与最高点相对高差为1711m. 地貌类型为山原地和山间盆地。</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勐龙镇地形呈角形，南、西、北是山，中、东部是勐龙镇坝子。最高海拔“南勒各角”2196m，最低海拔“南阿河”河口485m。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所在地曼南坎铁矿属低山丘陵地区，东低西高，北高南低。开采范国最高海拔71.5n.最低海拔655m,。这部分区域属西南“三江”南段，兰坪～思茅陆块之忙怀类～景洪多全属成矿带内。区域内地层主要为元古界大勐龙群变质岩系，区域岩浪活动强烈，有印度支期中基性岩、燕山期花岗岩、喜马拉雅期石英二长斑岩及不明酸性侵入岩广泛分布。</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（4）尾矿库等级和类别：</w:t>
      </w:r>
      <w:r>
        <w:rPr>
          <w:rFonts w:hint="eastAsia"/>
          <w:color w:val="000000" w:themeColor="text1"/>
          <w14:textFill>
            <w14:solidFill>
              <w14:schemeClr w14:val="tx1"/>
            </w14:solidFill>
          </w14:textFill>
        </w:rPr>
        <w:t>尾矿库设计有效库容量约209.9万m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，总坝高44.0m，为四等库。</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（5）库容：</w:t>
      </w:r>
      <w:r>
        <w:rPr>
          <w:rFonts w:hint="eastAsia"/>
          <w:color w:val="000000" w:themeColor="text1"/>
          <w14:textFill>
            <w14:solidFill>
              <w14:schemeClr w14:val="tx1"/>
            </w14:solidFill>
          </w14:textFill>
        </w:rPr>
        <w:t>尾矿库占地面积约4.38hm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，设计库容量约48万m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，有效库容量约209.9万m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（6）上游汇水面积：库区总汇水面积为0.</w:t>
      </w:r>
      <w:r>
        <w:rPr>
          <w:rFonts w:hint="eastAsia"/>
          <w:color w:val="000000" w:themeColor="text1"/>
          <w14:textFill>
            <w14:solidFill>
              <w14:schemeClr w14:val="tx1"/>
            </w14:solidFill>
          </w14:textFill>
        </w:rPr>
        <w:t>26</w:t>
      </w:r>
      <w:r>
        <w:rPr>
          <w:color w:val="000000" w:themeColor="text1"/>
          <w14:textFill>
            <w14:solidFill>
              <w14:schemeClr w14:val="tx1"/>
            </w14:solidFill>
          </w14:textFill>
        </w:rPr>
        <w:t>km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；库区外采用截洪沟截排，库内采用排洪斜槽+排洪暗涵排洪。防洪标准：初期防洪标准为50年一遇，后期防洪标准为200年一遇。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（7）工程情况：尾矿库主要由尾矿坝、尾矿排洪系统、尾矿库回水系统、尾矿输送系统、排渗系统及监测系统等组成：</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①尾矿坝</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经景洪分公司曼南坎铁矿尾矿库一期初期坝为碾压式均质土坝，坝顶标高为691.0m，初期坝坝高38.0m，坝顶宽5.0m，轴线长121.0m，内外坡比1:2/1：2.75，坝地内坡设置反滤层，相应有效库容为141.2万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。尾矿库为一次性成坝，不利用尾矿堆坝。</w:t>
      </w:r>
    </w:p>
    <w:p>
      <w:pPr>
        <w:ind w:firstLine="56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初期坝的坝体由非液化土填筑，坝体建成后，坝体不会发生地震液化现象。尾矿坝为碾压</w:t>
      </w:r>
      <w:r>
        <w:rPr>
          <w:rFonts w:hint="eastAsia" w:cs="Times New Roman"/>
          <w:color w:val="000000" w:themeColor="text1"/>
          <w:szCs w:val="24"/>
          <w14:textFill>
            <w14:solidFill>
              <w14:schemeClr w14:val="tx1"/>
            </w14:solidFill>
          </w14:textFill>
        </w:rPr>
        <w:t>式</w:t>
      </w:r>
      <w:r>
        <w:rPr>
          <w:rFonts w:cs="Times New Roman"/>
          <w:color w:val="000000" w:themeColor="text1"/>
          <w:szCs w:val="24"/>
          <w14:textFill>
            <w14:solidFill>
              <w14:schemeClr w14:val="tx1"/>
            </w14:solidFill>
          </w14:textFill>
        </w:rPr>
        <w:t>石坝，土料和石料采用周边底部土层中的全强风化白云岩材料。坝体碾压施工时保证碾压质量，加强压实质量控制，防止漏压、少压。压实填料的施工缝各层错开搭接，在施工缝的搭接处，适当增加压实遍数。为保证分层压实质量，</w:t>
      </w:r>
      <w:r>
        <w:rPr>
          <w:rFonts w:hint="eastAsia" w:cs="Times New Roman"/>
          <w:color w:val="000000" w:themeColor="text1"/>
          <w:szCs w:val="24"/>
          <w14:textFill>
            <w14:solidFill>
              <w14:schemeClr w14:val="tx1"/>
            </w14:solidFill>
          </w14:textFill>
        </w:rPr>
        <w:t>需</w:t>
      </w:r>
      <w:r>
        <w:rPr>
          <w:rFonts w:cs="Times New Roman"/>
          <w:color w:val="000000" w:themeColor="text1"/>
          <w:szCs w:val="24"/>
          <w14:textFill>
            <w14:solidFill>
              <w14:schemeClr w14:val="tx1"/>
            </w14:solidFill>
          </w14:textFill>
        </w:rPr>
        <w:t>控制机械碾压速度、遍数</w:t>
      </w:r>
      <w:r>
        <w:rPr>
          <w:rFonts w:hint="eastAsia" w:cs="Times New Roman"/>
          <w:color w:val="000000" w:themeColor="text1"/>
          <w:szCs w:val="24"/>
          <w14:textFill>
            <w14:solidFill>
              <w14:schemeClr w14:val="tx1"/>
            </w14:solidFill>
          </w14:textFill>
        </w:rPr>
        <w:t>和</w:t>
      </w:r>
      <w:r>
        <w:rPr>
          <w:rFonts w:cs="Times New Roman"/>
          <w:color w:val="000000" w:themeColor="text1"/>
          <w:szCs w:val="24"/>
          <w14:textFill>
            <w14:solidFill>
              <w14:schemeClr w14:val="tx1"/>
            </w14:solidFill>
          </w14:textFill>
        </w:rPr>
        <w:t>填筑厚度。碾压风化白云岩土石坝的压实质量以控制干密度作为碾压控制指标，压实后的坝体控制干容重应大于1.85g/cm</w:t>
      </w:r>
      <w:r>
        <w:rPr>
          <w:rFonts w:cs="Times New Roman"/>
          <w:color w:val="000000" w:themeColor="text1"/>
          <w:szCs w:val="24"/>
          <w:vertAlign w:val="superscript"/>
          <w14:textFill>
            <w14:solidFill>
              <w14:schemeClr w14:val="tx1"/>
            </w14:solidFill>
          </w14:textFill>
        </w:rPr>
        <w:t>3</w:t>
      </w:r>
      <w:r>
        <w:rPr>
          <w:rFonts w:cs="Times New Roman"/>
          <w:color w:val="000000" w:themeColor="text1"/>
          <w:szCs w:val="24"/>
          <w14:textFill>
            <w14:solidFill>
              <w14:schemeClr w14:val="tx1"/>
            </w14:solidFill>
          </w14:textFill>
        </w:rPr>
        <w:t>。筑坝时将大块径、风化程度较轻的坝料优先放在坝底及内坝坡，将风化程度较大的坝料放在远离尾矿水的外坡。初期坝体施工前，将通过坝体下的排洪暗涵修建好。</w:t>
      </w:r>
    </w:p>
    <w:p>
      <w:pPr>
        <w:pStyle w:val="38"/>
        <w:spacing w:after="190"/>
        <w:rPr>
          <w:rFonts w:cs="Times New Roman"/>
          <w:color w:val="000000" w:themeColor="text1"/>
          <w:sz w:val="28"/>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drawing>
          <wp:inline distT="0" distB="0" distL="114300" distR="114300">
            <wp:extent cx="5360035" cy="4017010"/>
            <wp:effectExtent l="0" t="0" r="4445" b="6350"/>
            <wp:docPr id="96" name="图片 96" descr="DJI_0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DJI_0617"/>
                    <pic:cNvPicPr>
                      <a:picLocks noChangeAspect="1"/>
                    </pic:cNvPicPr>
                  </pic:nvPicPr>
                  <pic:blipFill>
                    <a:blip r:embed="rId47"/>
                    <a:stretch>
                      <a:fillRect/>
                    </a:stretch>
                  </pic:blipFill>
                  <pic:spPr>
                    <a:xfrm>
                      <a:off x="0" y="0"/>
                      <a:ext cx="5360035" cy="4017010"/>
                    </a:xfrm>
                    <a:prstGeom prst="rect">
                      <a:avLst/>
                    </a:prstGeom>
                  </pic:spPr>
                </pic:pic>
              </a:graphicData>
            </a:graphic>
          </wp:inline>
        </w:drawing>
      </w:r>
    </w:p>
    <w:p>
      <w:pPr>
        <w:pStyle w:val="38"/>
        <w:spacing w:after="190"/>
        <w:rPr>
          <w:rFonts w:hint="default" w:eastAsia="仿宋" w:cs="Times New Roman"/>
          <w:color w:val="000000" w:themeColor="text1"/>
          <w:sz w:val="28"/>
          <w:szCs w:val="24"/>
          <w:lang w:val="en-US" w:eastAsia="zh-CN"/>
          <w14:textFill>
            <w14:solidFill>
              <w14:schemeClr w14:val="tx1"/>
            </w14:solidFill>
          </w14:textFill>
        </w:rPr>
      </w:pPr>
      <w:r>
        <w:rPr>
          <w:rFonts w:cs="Times New Roman"/>
          <w:color w:val="000000" w:themeColor="text1"/>
          <w:sz w:val="28"/>
          <w:szCs w:val="24"/>
          <w14:textFill>
            <w14:solidFill>
              <w14:schemeClr w14:val="tx1"/>
            </w14:solidFill>
          </w14:textFill>
        </w:rPr>
        <w:t>图2.2-1 项目</w:t>
      </w:r>
      <w:r>
        <w:rPr>
          <w:rFonts w:hint="eastAsia" w:cs="Times New Roman"/>
          <w:color w:val="000000" w:themeColor="text1"/>
          <w:sz w:val="28"/>
          <w:szCs w:val="24"/>
          <w:lang w:val="en-US" w:eastAsia="zh-CN"/>
          <w14:textFill>
            <w14:solidFill>
              <w14:schemeClr w14:val="tx1"/>
            </w14:solidFill>
          </w14:textFill>
        </w:rPr>
        <w:t>尾矿库现状</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②尾矿排洪系统</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库外排洪：</w:t>
      </w:r>
      <w:r>
        <w:rPr>
          <w:rFonts w:hint="eastAsia"/>
          <w:color w:val="000000" w:themeColor="text1"/>
          <w14:textFill>
            <w14:solidFill>
              <w14:schemeClr w14:val="tx1"/>
            </w14:solidFill>
          </w14:textFill>
        </w:rPr>
        <w:t>尾矿库排水采用有组织雨污分流系统，采空区道路旁设截洪沟，过滤车间周围设有雨水沟，雨水最终排除厂外较低山间谷地，排水沟采用砖砌明沟和暗沟结合的方式，其断面不小于0.6m×0.6m</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库内排洪设施采用操作简便的排水斜槽-排水管及右岸坝肩溢洪道组成，库内多余水量通过排洪暗涵外排。</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库内排洪：库内采用排</w:t>
      </w:r>
      <w:r>
        <w:rPr>
          <w:rFonts w:hint="eastAsia"/>
          <w:color w:val="000000" w:themeColor="text1"/>
          <w14:textFill>
            <w14:solidFill>
              <w14:schemeClr w14:val="tx1"/>
            </w14:solidFill>
          </w14:textFill>
        </w:rPr>
        <w:t>水</w:t>
      </w:r>
      <w:r>
        <w:rPr>
          <w:color w:val="000000" w:themeColor="text1"/>
          <w14:textFill>
            <w14:solidFill>
              <w14:schemeClr w14:val="tx1"/>
            </w14:solidFill>
          </w14:textFill>
        </w:rPr>
        <w:t>斜槽+</w:t>
      </w:r>
      <w:r>
        <w:rPr>
          <w:rFonts w:hint="eastAsia"/>
          <w:color w:val="000000" w:themeColor="text1"/>
          <w14:textFill>
            <w14:solidFill>
              <w14:schemeClr w14:val="tx1"/>
            </w14:solidFill>
          </w14:textFill>
        </w:rPr>
        <w:t>排水管</w:t>
      </w:r>
      <w:r>
        <w:rPr>
          <w:color w:val="000000" w:themeColor="text1"/>
          <w14:textFill>
            <w14:solidFill>
              <w14:schemeClr w14:val="tx1"/>
            </w14:solidFill>
          </w14:textFill>
        </w:rPr>
        <w:t>。排洪</w:t>
      </w:r>
      <w:r>
        <w:rPr>
          <w:rFonts w:hint="eastAsia"/>
          <w:color w:val="000000" w:themeColor="text1"/>
          <w14:textFill>
            <w14:solidFill>
              <w14:schemeClr w14:val="tx1"/>
            </w14:solidFill>
          </w14:textFill>
        </w:rPr>
        <w:t>斜槽</w:t>
      </w:r>
      <w:r>
        <w:rPr>
          <w:color w:val="000000" w:themeColor="text1"/>
          <w14:textFill>
            <w14:solidFill>
              <w14:schemeClr w14:val="tx1"/>
            </w14:solidFill>
          </w14:textFill>
        </w:rPr>
        <w:t>采用钢筋混凝土结构，斜槽采用矩形断面宽为</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.5m，深为</w:t>
      </w:r>
      <w:r>
        <w:rPr>
          <w:rFonts w:hint="eastAsia"/>
          <w:color w:val="000000" w:themeColor="text1"/>
          <w14:textFill>
            <w14:solidFill>
              <w14:schemeClr w14:val="tx1"/>
            </w14:solidFill>
          </w14:textFill>
        </w:rPr>
        <w:t>0.5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长为58.0m，斜槽由结合井与库底排水管相接，库底排水管为无缝钢管，D×δ=325×10mm沿地面铺设，外包C20钢筋混凝土，L=403.0m。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溢洪道修筑于库区右岸，沿山坡开挖延伸至坝外。浆砌石结构b×h=1.2×1.2m，L=52.0m，纵坡i=2%，溢洪道出口下接长约107.5m的消能跌坎。</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③尾矿输送系统</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由曼南坎铁矿选厂排出，尾矿输送采用压力输送，尾矿从选厂排出经高效浓度池浓密至40%浓度后，采用φ168mm×10mm、长100m的带法兰输送钢管，用泵扬送到1.2km外原采场采空区处经带式过滤机过滤后，用尾矿输送皮带输送到采矿区进行充填，输送管沿原有选厂至采场道路一侧布设，管槽采用人工开挖。</w:t>
      </w:r>
    </w:p>
    <w:p>
      <w:pPr>
        <w:pStyle w:val="38"/>
        <w:spacing w:after="190"/>
        <w:rPr>
          <w:rFonts w:cs="Times New Roman"/>
          <w:b w:val="0"/>
          <w:bCs/>
          <w:color w:val="000000" w:themeColor="text1"/>
          <w:sz w:val="28"/>
          <w:szCs w:val="24"/>
          <w14:textFill>
            <w14:solidFill>
              <w14:schemeClr w14:val="tx1"/>
            </w14:solidFill>
          </w14:textFill>
        </w:rPr>
      </w:pPr>
      <w:r>
        <w:rPr>
          <w:color w:val="000000" w:themeColor="text1"/>
          <w:sz w:val="28"/>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1367790</wp:posOffset>
                </wp:positionH>
                <wp:positionV relativeFrom="paragraph">
                  <wp:posOffset>2065655</wp:posOffset>
                </wp:positionV>
                <wp:extent cx="2823210" cy="692785"/>
                <wp:effectExtent l="4445" t="47625" r="10795" b="21590"/>
                <wp:wrapNone/>
                <wp:docPr id="22" name="直接箭头连接符 22"/>
                <wp:cNvGraphicFramePr/>
                <a:graphic xmlns:a="http://schemas.openxmlformats.org/drawingml/2006/main">
                  <a:graphicData uri="http://schemas.microsoft.com/office/word/2010/wordprocessingShape">
                    <wps:wsp>
                      <wps:cNvCnPr/>
                      <wps:spPr>
                        <a:xfrm flipV="1">
                          <a:off x="2806065" y="5662295"/>
                          <a:ext cx="2823210" cy="692785"/>
                        </a:xfrm>
                        <a:prstGeom prst="straightConnector1">
                          <a:avLst/>
                        </a:prstGeom>
                        <a:ln w="38100">
                          <a:solidFill>
                            <a:srgbClr val="FF0000"/>
                          </a:solidFill>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07.7pt;margin-top:162.65pt;height:54.55pt;width:222.3pt;z-index:251664384;mso-width-relative:page;mso-height-relative:page;" filled="f" stroked="t" coordsize="21600,21600" o:gfxdata="UEsDBAoAAAAAAIdO4kAAAAAAAAAAAAAAAAAEAAAAZHJzL1BLAwQUAAAACACHTuJAhNX2dNgAAAAL&#10;AQAADwAAAGRycy9kb3ducmV2LnhtbE2PQU7DMBBF90jcwRokdtRO4kYoxOkCUYkNC0oP4MbTOCIe&#10;R7bTFE6PWcFyNE//v9/urm5iFwxx9KSg2AhgSL03Iw0Kjh/7h0dgMWkyevKECr4wwq67vWl1Y/xK&#10;73g5pIHlEIqNVmBTmhvOY2/R6bjxM1L+nX1wOuUzDNwEveZwN/FSiJo7PVJusHrGZ4v952FxCkJv&#10;ZV2UL8Gn89v3Ky5u3fNSqfu7QjwBS3hNfzD86md16LLTyS9kIpsUlMVWZlRBVW4rYJmoa5HXnRTI&#10;SkrgXcv/b+h+AFBLAwQUAAAACACHTuJAbqnGxyUCAAAKBAAADgAAAGRycy9lMm9Eb2MueG1srVPN&#10;jtMwEL4j8Q6W7zRpVg3dqukeWsoFQSV+7q7jJJb8p7G3aV+CF0DiBJxYTnvnaWB5DMZOWC3LZQ/0&#10;EI3rmW/m++bz8uKoFTkI8NKaik4nOSXCcFtL01b07ZvtkzklPjBTM2WNqOhJeHqxevxo2buFKGxn&#10;VS2AIIjxi95VtAvBLbLM805o5ifWCYOXjQXNAh6hzWpgPaJrlRV5Xma9hdqB5cJ7/HczXNIRER4C&#10;aJtGcrGx/FILEwZUEIoFpOQ76TxdpWmbRvDwqmm8CERVFJmG9MUmGO/jN1st2aIF5jrJxxHYQ0a4&#10;x0kzabDpLdSGBUYuQf4DpSUH620TJtzqbCCSFEEW0/yeNq875kTiglJ7dyu6/3+w/OVhB0TWFS0K&#10;SgzTuPGbD9c/33+++Xb149P1r+8fY/z1C8F7FKt3foE1a7OD8eTdDiLzYwOaNEq6d+iqpAWyI0cE&#10;nudlXs4oOVV0VpZFcT4bZBfHQHhKKM6KKW6EY0Z5Xjydp4RswIzYDnx4LqwmMaioD8Bk24W1NQY3&#10;bGHoxw4vfMCpsPBPQSw2diuVSotWhvQVPZtP89iNoXsbdA2G2qEC3rSUMNXis+ABEgVvlaxjeQTy&#10;0O7XCsiBoZm22xx/kQi2+yst9t4w3w156Wrgq2XAl6Okrug8Fo/uC0yqZ6Ym4eRQfAZg+xFWmdhW&#10;JBuP1KL+g+Ix2tv6lBaRxRNaJE0z2jl68O4Z47tPeP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NX2dNgAAAALAQAADwAAAAAAAAABACAAAAAiAAAAZHJzL2Rvd25yZXYueG1sUEsBAhQAFAAAAAgA&#10;h07iQG6pxsclAgAACgQAAA4AAAAAAAAAAQAgAAAAJwEAAGRycy9lMm9Eb2MueG1sUEsFBgAAAAAG&#10;AAYAWQEAAL4FAAAAAA==&#10;">
                <v:fill on="f" focussize="0,0"/>
                <v:stroke weight="3pt" color="#FF0000 [3204]" miterlimit="8" joinstyle="miter" endarrow="open"/>
                <v:imagedata o:title=""/>
                <o:lock v:ext="edit" aspectratio="f"/>
              </v:shape>
            </w:pict>
          </mc:Fallback>
        </mc:AlternateContent>
      </w:r>
      <w:r>
        <w:rPr>
          <w:rFonts w:hint="eastAsia" w:cs="Times New Roman"/>
          <w:b w:val="0"/>
          <w:bCs/>
          <w:color w:val="000000" w:themeColor="text1"/>
          <w:sz w:val="28"/>
          <w:szCs w:val="24"/>
          <w14:textFill>
            <w14:solidFill>
              <w14:schemeClr w14:val="tx1"/>
            </w14:solidFill>
          </w14:textFill>
        </w:rPr>
        <w:drawing>
          <wp:inline distT="0" distB="0" distL="114300" distR="114300">
            <wp:extent cx="5511800" cy="3702050"/>
            <wp:effectExtent l="19050" t="0" r="0" b="0"/>
            <wp:docPr id="21" name="图片 21" descr="ee95e6b7cec40f3dda8042149afee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ee95e6b7cec40f3dda8042149afeeb5"/>
                    <pic:cNvPicPr>
                      <a:picLocks noChangeAspect="1"/>
                    </pic:cNvPicPr>
                  </pic:nvPicPr>
                  <pic:blipFill>
                    <a:blip r:embed="rId48"/>
                    <a:stretch>
                      <a:fillRect/>
                    </a:stretch>
                  </pic:blipFill>
                  <pic:spPr>
                    <a:xfrm>
                      <a:off x="0" y="0"/>
                      <a:ext cx="5513070" cy="3702829"/>
                    </a:xfrm>
                    <a:prstGeom prst="rect">
                      <a:avLst/>
                    </a:prstGeom>
                  </pic:spPr>
                </pic:pic>
              </a:graphicData>
            </a:graphic>
          </wp:inline>
        </w:drawing>
      </w:r>
    </w:p>
    <w:p>
      <w:pPr>
        <w:pStyle w:val="38"/>
        <w:spacing w:after="190"/>
        <w:rPr>
          <w:rFonts w:cs="Times New Roman"/>
          <w:color w:val="000000" w:themeColor="text1"/>
          <w:sz w:val="28"/>
          <w:szCs w:val="24"/>
          <w14:textFill>
            <w14:solidFill>
              <w14:schemeClr w14:val="tx1"/>
            </w14:solidFill>
          </w14:textFill>
        </w:rPr>
      </w:pPr>
      <w:r>
        <w:rPr>
          <w:rFonts w:cs="Times New Roman"/>
          <w:color w:val="000000" w:themeColor="text1"/>
          <w:sz w:val="28"/>
          <w:szCs w:val="24"/>
          <w14:textFill>
            <w14:solidFill>
              <w14:schemeClr w14:val="tx1"/>
            </w14:solidFill>
          </w14:textFill>
        </w:rPr>
        <w:t>图2.2-</w:t>
      </w:r>
      <w:r>
        <w:rPr>
          <w:rFonts w:hint="eastAsia" w:cs="Times New Roman"/>
          <w:color w:val="000000" w:themeColor="text1"/>
          <w:sz w:val="28"/>
          <w:szCs w:val="24"/>
          <w14:textFill>
            <w14:solidFill>
              <w14:schemeClr w14:val="tx1"/>
            </w14:solidFill>
          </w14:textFill>
        </w:rPr>
        <w:t>2</w:t>
      </w:r>
      <w:r>
        <w:rPr>
          <w:rFonts w:cs="Times New Roman"/>
          <w:color w:val="000000" w:themeColor="text1"/>
          <w:sz w:val="28"/>
          <w:szCs w:val="24"/>
          <w14:textFill>
            <w14:solidFill>
              <w14:schemeClr w14:val="tx1"/>
            </w14:solidFill>
          </w14:textFill>
        </w:rPr>
        <w:t>尾矿输送管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④回水系统</w:t>
      </w:r>
    </w:p>
    <w:p>
      <w:pPr>
        <w:ind w:firstLine="560"/>
        <w:rPr>
          <w:color w:val="000000" w:themeColor="text1"/>
          <w:szCs w:val="22"/>
          <w14:textFill>
            <w14:solidFill>
              <w14:schemeClr w14:val="tx1"/>
            </w14:solidFill>
          </w14:textFill>
        </w:rPr>
      </w:pPr>
      <w:r>
        <w:rPr>
          <w:color w:val="000000" w:themeColor="text1"/>
          <w14:textFill>
            <w14:solidFill>
              <w14:schemeClr w14:val="tx1"/>
            </w14:solidFill>
          </w14:textFill>
        </w:rPr>
        <w:t>尾矿库回水</w:t>
      </w:r>
      <w:r>
        <w:rPr>
          <w:rFonts w:hint="eastAsia"/>
          <w:color w:val="000000" w:themeColor="text1"/>
          <w14:textFill>
            <w14:solidFill>
              <w14:schemeClr w14:val="tx1"/>
            </w14:solidFill>
          </w14:textFill>
        </w:rPr>
        <w:t>系统包括过滤机回水系统和浓密池回水系统。</w:t>
      </w:r>
      <w:r>
        <w:rPr>
          <w:color w:val="000000" w:themeColor="text1"/>
          <w14:textFill>
            <w14:solidFill>
              <w14:schemeClr w14:val="tx1"/>
            </w14:solidFill>
          </w14:textFill>
        </w:rPr>
        <w:br w:type="textWrapping"/>
      </w:r>
      <w:r>
        <w:rPr>
          <w:rFonts w:hint="eastAsia"/>
          <w:color w:val="000000" w:themeColor="text1"/>
          <w:szCs w:val="22"/>
          <w:lang w:val="en-US" w:eastAsia="zh-CN"/>
          <w14:textFill>
            <w14:solidFill>
              <w14:schemeClr w14:val="tx1"/>
            </w14:solidFill>
          </w14:textFill>
        </w:rPr>
        <w:t xml:space="preserve">    1）</w:t>
      </w:r>
      <w:r>
        <w:rPr>
          <w:rFonts w:hint="eastAsia"/>
          <w:color w:val="000000" w:themeColor="text1"/>
          <w:szCs w:val="22"/>
          <w14:textFill>
            <w14:solidFill>
              <w14:schemeClr w14:val="tx1"/>
            </w14:solidFill>
          </w14:textFill>
        </w:rPr>
        <w:t>过滤机回水系统：</w:t>
      </w:r>
      <w:r>
        <w:rPr>
          <w:color w:val="000000" w:themeColor="text1"/>
          <w:szCs w:val="22"/>
          <w14:textFill>
            <w14:solidFill>
              <w14:schemeClr w14:val="tx1"/>
            </w14:solidFill>
          </w14:textFill>
        </w:rPr>
        <w:t>根据工艺专业提供资料，过</w:t>
      </w:r>
      <w:r>
        <w:rPr>
          <w:rFonts w:hint="eastAsia"/>
          <w:color w:val="000000" w:themeColor="text1"/>
          <w:szCs w:val="22"/>
          <w14:textFill>
            <w14:solidFill>
              <w14:schemeClr w14:val="tx1"/>
            </w14:solidFill>
          </w14:textFill>
        </w:rPr>
        <w:t>虑</w:t>
      </w:r>
      <w:r>
        <w:rPr>
          <w:color w:val="000000" w:themeColor="text1"/>
          <w:szCs w:val="22"/>
          <w14:textFill>
            <w14:solidFill>
              <w14:schemeClr w14:val="tx1"/>
            </w14:solidFill>
          </w14:textFill>
        </w:rPr>
        <w:t>车间</w:t>
      </w:r>
      <w:r>
        <w:rPr>
          <w:rFonts w:hint="eastAsia"/>
          <w:color w:val="000000" w:themeColor="text1"/>
          <w:szCs w:val="22"/>
          <w14:textFill>
            <w14:solidFill>
              <w14:schemeClr w14:val="tx1"/>
            </w14:solidFill>
          </w14:textFill>
        </w:rPr>
        <w:t>溢</w:t>
      </w:r>
      <w:r>
        <w:rPr>
          <w:color w:val="000000" w:themeColor="text1"/>
          <w:szCs w:val="22"/>
          <w14:textFill>
            <w14:solidFill>
              <w14:schemeClr w14:val="tx1"/>
            </w14:solidFill>
          </w14:textFill>
        </w:rPr>
        <w:t>流水量为1875m</w:t>
      </w:r>
      <w:r>
        <w:rPr>
          <w:rFonts w:hint="eastAsia"/>
          <w:color w:val="000000" w:themeColor="text1"/>
          <w:szCs w:val="22"/>
          <w14:textFill>
            <w14:solidFill>
              <w14:schemeClr w14:val="tx1"/>
            </w14:solidFill>
          </w14:textFill>
        </w:rPr>
        <w:t>3</w:t>
      </w:r>
      <w:r>
        <w:rPr>
          <w:color w:val="000000" w:themeColor="text1"/>
          <w:szCs w:val="22"/>
          <w14:textFill>
            <w14:solidFill>
              <w14:schemeClr w14:val="tx1"/>
            </w14:solidFill>
          </w14:textFill>
        </w:rPr>
        <w:t>/d</w:t>
      </w:r>
      <w:r>
        <w:rPr>
          <w:rFonts w:hint="eastAsia"/>
          <w:color w:val="000000" w:themeColor="text1"/>
          <w:szCs w:val="22"/>
          <w14:textFill>
            <w14:solidFill>
              <w14:schemeClr w14:val="tx1"/>
            </w14:solidFill>
          </w14:textFill>
        </w:rPr>
        <w:t>。</w:t>
      </w:r>
      <w:r>
        <w:rPr>
          <w:color w:val="000000" w:themeColor="text1"/>
          <w:szCs w:val="22"/>
          <w14:textFill>
            <w14:solidFill>
              <w14:schemeClr w14:val="tx1"/>
            </w14:solidFill>
          </w14:textFill>
        </w:rPr>
        <w:t>平均流量为78.3m</w:t>
      </w:r>
      <w:r>
        <w:rPr>
          <w:rFonts w:hint="eastAsia"/>
          <w:color w:val="000000" w:themeColor="text1"/>
          <w:szCs w:val="22"/>
          <w14:textFill>
            <w14:solidFill>
              <w14:schemeClr w14:val="tx1"/>
            </w14:solidFill>
          </w14:textFill>
        </w:rPr>
        <w:t>3/h，</w:t>
      </w:r>
      <w:r>
        <w:rPr>
          <w:color w:val="000000" w:themeColor="text1"/>
          <w:szCs w:val="22"/>
          <w14:textFill>
            <w14:solidFill>
              <w14:schemeClr w14:val="tx1"/>
            </w14:solidFill>
          </w14:textFill>
        </w:rPr>
        <w:t>除返回过滤车间使用207m</w:t>
      </w:r>
      <w:r>
        <w:rPr>
          <w:rFonts w:hint="eastAsia"/>
          <w:color w:val="000000" w:themeColor="text1"/>
          <w:szCs w:val="22"/>
          <w14:textFill>
            <w14:solidFill>
              <w14:schemeClr w14:val="tx1"/>
            </w14:solidFill>
          </w14:textFill>
        </w:rPr>
        <w:t>3/</w:t>
      </w:r>
      <w:r>
        <w:rPr>
          <w:color w:val="000000" w:themeColor="text1"/>
          <w:szCs w:val="22"/>
          <w14:textFill>
            <w14:solidFill>
              <w14:schemeClr w14:val="tx1"/>
            </w14:solidFill>
          </w14:textFill>
        </w:rPr>
        <w:t>d外，其余每天约有1668m3/d循环水量供选厂回</w:t>
      </w:r>
      <w:r>
        <w:rPr>
          <w:rFonts w:hint="eastAsia"/>
          <w:color w:val="000000" w:themeColor="text1"/>
          <w:szCs w:val="22"/>
          <w14:textFill>
            <w14:solidFill>
              <w14:schemeClr w14:val="tx1"/>
            </w14:solidFill>
          </w14:textFill>
        </w:rPr>
        <w:t>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过滤机溢流水、滤布冲洗水、真空泵冷却水及车间清洁用水，在过滤车间内经地沟汇集后流到车间外的调节池中，经回水泵加压扬送到距过滤车间约1.2km远的尾矿浓密池回水泵站吸水池。在过滤车间回水泵扬水管上接出两根支管，一根支管接至过滤机滤布冲洗水管和车间地面冲洗水管;另一根支管接至净水器，处理后的水用于真空泵冷却。净水器的加药设备设在过滤机回水泵房中</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调节池:尺寸:L</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H=7.0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2.0(m)，池底标高668.0m，地下式水池。</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过滤车间回水泵房:尺寸:L</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4.0(m)，室内标高668.0m，半地上式</w:t>
      </w:r>
      <w:r>
        <w:rPr>
          <w:rFonts w:hint="eastAsia"/>
          <w:color w:val="000000" w:themeColor="text1"/>
          <w14:textFill>
            <w14:solidFill>
              <w14:schemeClr w14:val="tx1"/>
            </w14:solidFill>
          </w14:textFill>
        </w:rPr>
        <w:t>建筑</w:t>
      </w:r>
      <w:r>
        <w:rPr>
          <w:color w:val="000000" w:themeColor="text1"/>
          <w14:textFill>
            <w14:solidFill>
              <w14:schemeClr w14:val="tx1"/>
            </w14:solidFill>
          </w14:textFill>
        </w:rPr>
        <w:t>，地上2.0m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地下2.0m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泵房中设有过滤车间回水泵和加药设备。过滤车间回水泵型号IS100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200，2台(1用1备)，每台流量100m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扬程50m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电机型号Y180M-2，功率22</w:t>
      </w:r>
      <w:r>
        <w:rPr>
          <w:rFonts w:hint="eastAsia"/>
          <w:color w:val="000000" w:themeColor="text1"/>
          <w14:textFill>
            <w14:solidFill>
              <w14:schemeClr w14:val="tx1"/>
            </w14:solidFill>
          </w14:textFill>
        </w:rPr>
        <w:t>kw</w:t>
      </w:r>
      <w:r>
        <w:rPr>
          <w:color w:val="000000" w:themeColor="text1"/>
          <w14:textFill>
            <w14:solidFill>
              <w14:schemeClr w14:val="tx1"/>
            </w14:solidFill>
          </w14:textFill>
        </w:rPr>
        <w:t>,转速2900r/min,总重量251kg。加药设备</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LMI-A型，1台，容积180L，计量泵流量3.2L/h,功率0.022k</w:t>
      </w:r>
      <w:r>
        <w:rPr>
          <w:rFonts w:hint="eastAsia"/>
          <w:color w:val="000000" w:themeColor="text1"/>
          <w14:textFill>
            <w14:solidFill>
              <w14:schemeClr w14:val="tx1"/>
            </w14:solidFill>
          </w14:textFill>
        </w:rPr>
        <w:t>w</w:t>
      </w:r>
      <w:r>
        <w:rPr>
          <w:color w:val="000000" w:themeColor="text1"/>
          <w14:textFill>
            <w14:solidFill>
              <w14:schemeClr w14:val="tx1"/>
            </w14:solidFill>
          </w14:textFill>
        </w:rPr>
        <w:t>,搅拌器功率0.175k</w:t>
      </w:r>
      <w:r>
        <w:rPr>
          <w:rFonts w:hint="eastAsia"/>
          <w:color w:val="000000" w:themeColor="text1"/>
          <w14:textFill>
            <w14:solidFill>
              <w14:schemeClr w14:val="tx1"/>
            </w14:solidFill>
          </w14:textFill>
        </w:rPr>
        <w:t>w</w:t>
      </w:r>
      <w:r>
        <w:rPr>
          <w:color w:val="000000" w:themeColor="text1"/>
          <w14:textFill>
            <w14:solidFill>
              <w14:schemeClr w14:val="tx1"/>
            </w14:solidFill>
          </w14:textFill>
        </w:rPr>
        <w:t>。药剂使用聚丙烯酰胺(PAM)，设计投加药剂量为50kg/d</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药剂从净水器进水管上的管道混合器上投入，管道混合器型号JT型，DN50</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净水器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用LB</w:t>
      </w:r>
      <w:r>
        <w:rPr>
          <w:rFonts w:hint="eastAsia"/>
          <w:color w:val="000000" w:themeColor="text1"/>
          <w14:textFill>
            <w14:solidFill>
              <w14:schemeClr w14:val="tx1"/>
            </w14:solidFill>
          </w14:textFill>
        </w:rPr>
        <w:t>JI</w:t>
      </w:r>
      <w:r>
        <w:rPr>
          <w:color w:val="000000" w:themeColor="text1"/>
          <w14:textFill>
            <w14:solidFill>
              <w14:schemeClr w14:val="tx1"/>
            </w14:solidFill>
          </w14:textFill>
        </w:rPr>
        <w:t>型智能压力式净水器，流量10m</w:t>
      </w:r>
      <w:r>
        <w:rPr>
          <w:rFonts w:hint="eastAsia"/>
          <w:color w:val="000000" w:themeColor="text1"/>
          <w:vertAlign w:val="superscript"/>
          <w14:textFill>
            <w14:solidFill>
              <w14:schemeClr w14:val="tx1"/>
            </w14:solidFill>
          </w14:textFill>
        </w:rPr>
        <w:t>3</w:t>
      </w:r>
      <w:r>
        <w:rPr>
          <w:color w:val="000000" w:themeColor="text1"/>
          <w14:textFill>
            <w14:solidFill>
              <w14:schemeClr w14:val="tx1"/>
            </w14:solidFill>
          </w14:textFill>
        </w:rPr>
        <w:t>/h,进水浊</w:t>
      </w:r>
      <w:r>
        <w:rPr>
          <w:rFonts w:hint="eastAsia"/>
          <w:color w:val="000000" w:themeColor="text1"/>
          <w14:textFill>
            <w14:solidFill>
              <w14:schemeClr w14:val="tx1"/>
            </w14:solidFill>
          </w14:textFill>
        </w:rPr>
        <w:t>度≤</w:t>
      </w:r>
      <w:r>
        <w:rPr>
          <w:color w:val="000000" w:themeColor="text1"/>
          <w14:textFill>
            <w14:solidFill>
              <w14:schemeClr w14:val="tx1"/>
            </w14:solidFill>
          </w14:textFill>
        </w:rPr>
        <w:t>2000NTU，出水浊度</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SNTU</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外形尺寸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L</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H=1730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15</w:t>
      </w:r>
      <w:r>
        <w:rPr>
          <w:rFonts w:hint="eastAsia"/>
          <w:color w:val="000000" w:themeColor="text1"/>
          <w14:textFill>
            <w14:solidFill>
              <w14:schemeClr w14:val="tx1"/>
            </w14:solidFill>
          </w14:textFill>
        </w:rPr>
        <w:t>46×</w:t>
      </w:r>
      <w:r>
        <w:rPr>
          <w:color w:val="000000" w:themeColor="text1"/>
          <w14:textFill>
            <w14:solidFill>
              <w14:schemeClr w14:val="tx1"/>
            </w14:solidFill>
          </w14:textFill>
        </w:rPr>
        <w:t>220</w:t>
      </w:r>
      <w:r>
        <w:rPr>
          <w:rFonts w:hint="eastAsia"/>
          <w:color w:val="000000" w:themeColor="text1"/>
          <w14:textFill>
            <w14:solidFill>
              <w14:schemeClr w14:val="tx1"/>
            </w14:solidFill>
          </w14:textFill>
        </w:rPr>
        <w:t>0（mm），</w:t>
      </w:r>
      <w:r>
        <w:rPr>
          <w:color w:val="000000" w:themeColor="text1"/>
          <w14:textFill>
            <w14:solidFill>
              <w14:schemeClr w14:val="tx1"/>
            </w14:solidFill>
          </w14:textFill>
        </w:rPr>
        <w:t>运行重量81</w:t>
      </w:r>
      <w:r>
        <w:rPr>
          <w:rFonts w:hint="eastAsia"/>
          <w:color w:val="000000" w:themeColor="text1"/>
          <w14:textFill>
            <w14:solidFill>
              <w14:schemeClr w14:val="tx1"/>
            </w14:solidFill>
          </w14:textFill>
        </w:rPr>
        <w:t>t，</w:t>
      </w:r>
      <w:r>
        <w:rPr>
          <w:color w:val="000000" w:themeColor="text1"/>
          <w14:textFill>
            <w14:solidFill>
              <w14:schemeClr w14:val="tx1"/>
            </w14:solidFill>
          </w14:textFill>
        </w:rPr>
        <w:t>1台，置于过滤机回水泵房顶上。</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泵房中的水经室内排水沟汇集到地坑内，再经</w:t>
      </w:r>
      <w:r>
        <w:rPr>
          <w:rFonts w:hint="eastAsia"/>
          <w:color w:val="000000" w:themeColor="text1"/>
          <w14:textFill>
            <w14:solidFill>
              <w14:schemeClr w14:val="tx1"/>
            </w14:solidFill>
          </w14:textFill>
        </w:rPr>
        <w:t>潜</w:t>
      </w:r>
      <w:r>
        <w:rPr>
          <w:color w:val="000000" w:themeColor="text1"/>
          <w14:textFill>
            <w14:solidFill>
              <w14:schemeClr w14:val="tx1"/>
            </w14:solidFill>
          </w14:textFill>
        </w:rPr>
        <w:t>污泵</w:t>
      </w:r>
      <w:r>
        <w:rPr>
          <w:rFonts w:hint="eastAsia"/>
          <w:color w:val="000000" w:themeColor="text1"/>
          <w14:textFill>
            <w14:solidFill>
              <w14:schemeClr w14:val="tx1"/>
            </w14:solidFill>
          </w14:textFill>
        </w:rPr>
        <w:t>输送</w:t>
      </w:r>
      <w:r>
        <w:rPr>
          <w:color w:val="000000" w:themeColor="text1"/>
          <w14:textFill>
            <w14:solidFill>
              <w14:schemeClr w14:val="tx1"/>
            </w14:solidFill>
          </w14:textFill>
        </w:rPr>
        <w:t>到室外排水沟</w:t>
      </w:r>
      <w:r>
        <w:rPr>
          <w:rFonts w:hint="eastAsia"/>
          <w:color w:val="000000" w:themeColor="text1"/>
          <w14:textFill>
            <w14:solidFill>
              <w14:schemeClr w14:val="tx1"/>
            </w14:solidFill>
          </w14:textFill>
        </w:rPr>
        <w:t>。潜污泵型号</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1200</w:t>
      </w:r>
      <w:r>
        <w:rPr>
          <w:rFonts w:hint="eastAsia"/>
          <w:color w:val="000000" w:themeColor="text1"/>
          <w14:textFill>
            <w14:solidFill>
              <w14:schemeClr w14:val="tx1"/>
            </w14:solidFill>
          </w14:textFill>
        </w:rPr>
        <w:t>-1.5，</w:t>
      </w:r>
      <w:r>
        <w:rPr>
          <w:color w:val="000000" w:themeColor="text1"/>
          <w14:textFill>
            <w14:solidFill>
              <w14:schemeClr w14:val="tx1"/>
            </w14:solidFill>
          </w14:textFill>
        </w:rPr>
        <w:t>流量5m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扬程15m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功率1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5k</w:t>
      </w:r>
      <w:r>
        <w:rPr>
          <w:rFonts w:hint="eastAsia"/>
          <w:color w:val="000000" w:themeColor="text1"/>
          <w14:textFill>
            <w14:solidFill>
              <w14:schemeClr w14:val="tx1"/>
            </w14:solidFill>
          </w14:textFill>
        </w:rPr>
        <w:t>w，</w:t>
      </w:r>
      <w:r>
        <w:rPr>
          <w:color w:val="000000" w:themeColor="text1"/>
          <w14:textFill>
            <w14:solidFill>
              <w14:schemeClr w14:val="tx1"/>
            </w14:solidFill>
          </w14:textFill>
        </w:rPr>
        <w:t>1台</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回水管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焊接钢管，管径DN150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长约1</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00m</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冲洗水管，净水管和排污管：焊接钢管。管径DN50，长约80m。</w:t>
      </w:r>
    </w:p>
    <w:p>
      <w:pPr>
        <w:numPr>
          <w:ilvl w:val="0"/>
          <w:numId w:val="2"/>
        </w:numPr>
        <w:ind w:firstLine="560"/>
        <w:rPr>
          <w:color w:val="000000" w:themeColor="text1"/>
          <w14:textFill>
            <w14:solidFill>
              <w14:schemeClr w14:val="tx1"/>
            </w14:solidFill>
          </w14:textFill>
        </w:rPr>
      </w:pPr>
      <w:r>
        <w:rPr>
          <w:color w:val="000000" w:themeColor="text1"/>
          <w14:textFill>
            <w14:solidFill>
              <w14:schemeClr w14:val="tx1"/>
            </w14:solidFill>
          </w14:textFill>
        </w:rPr>
        <w:t>浓密池回水系统：</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根据工艺专业提供的资料，尾矿浓密机溢流水量为15000m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/d，过滤车间回水量1668m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/d，除返回浓密池自用106m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/d外，其余约有16562m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/d循环水量供选厂回用。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浓密池溢流水以及过滤车间回水汇集到吸水池后，再经浓密池回水泵加压扬送到距浓密池约300m远的回水高位水池，池底标高735.76m，为供给浓密池用水，回水高位水池进水管布置成对置式供水形式。在浓密池回水泵出水管上接出一支管，供给水渣浆泵轴封水及浓密池底部冲洗水。</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吸水池：尺寸：L×B×H=9.6×6.0×3.5(m)，标高686.5m，地上式水池。吸水池进水管布置成对置式供水形势，以便供过滤车间用水。</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浓密池回水泵房：尺寸：L×B×H=9.6×6.0×3.6(m)，标高686.5m，地上式建筑。泵房内设有浓密池回水泵和起重机。浓密池回水泵型号250S-65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3台(2用1备)，每台流量360m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/h，扬程71m,电机型号Y315M-4，功率132kw，转速1450r/min，总重量1528kg。</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起重机：号LSX-2，1台，起重量2t，跨度4.0m。</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回水管：焊接钢管，管径DN350，长约300m。</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轴封水管和冲洗水管：焊接钢管，DN100，长约50m。</w:t>
      </w:r>
    </w:p>
    <w:p>
      <w:pPr>
        <w:pStyle w:val="38"/>
        <w:spacing w:after="190"/>
        <w:rPr>
          <w:rFonts w:cs="仿宋"/>
          <w:color w:val="000000" w:themeColor="text1"/>
          <w:szCs w:val="28"/>
          <w14:textFill>
            <w14:solidFill>
              <w14:schemeClr w14:val="tx1"/>
            </w14:solidFill>
          </w14:textFill>
        </w:rPr>
      </w:pPr>
      <w:r>
        <w:rPr>
          <w:rFonts w:cs="仿宋"/>
          <w:color w:val="000000" w:themeColor="text1"/>
          <w:szCs w:val="28"/>
          <w14:textFill>
            <w14:solidFill>
              <w14:schemeClr w14:val="tx1"/>
            </w14:solidFill>
          </w14:textFill>
        </w:rPr>
        <w:drawing>
          <wp:inline distT="0" distB="0" distL="0" distR="0">
            <wp:extent cx="5089525" cy="3676650"/>
            <wp:effectExtent l="0" t="0" r="15875" b="0"/>
            <wp:docPr id="7" name="图片 11" descr="3b9692b161b0553a894c47e1a5c1e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3b9692b161b0553a894c47e1a5c1ee8"/>
                    <pic:cNvPicPr>
                      <a:picLocks noChangeAspect="1" noChangeArrowheads="1"/>
                    </pic:cNvPicPr>
                  </pic:nvPicPr>
                  <pic:blipFill>
                    <a:blip r:embed="rId49"/>
                    <a:srcRect/>
                    <a:stretch>
                      <a:fillRect/>
                    </a:stretch>
                  </pic:blipFill>
                  <pic:spPr>
                    <a:xfrm>
                      <a:off x="0" y="0"/>
                      <a:ext cx="5089525" cy="3676650"/>
                    </a:xfrm>
                    <a:prstGeom prst="rect">
                      <a:avLst/>
                    </a:prstGeom>
                    <a:noFill/>
                    <a:ln w="9525">
                      <a:noFill/>
                      <a:miter lim="800000"/>
                      <a:headEnd/>
                      <a:tailEnd/>
                    </a:ln>
                  </pic:spPr>
                </pic:pic>
              </a:graphicData>
            </a:graphic>
          </wp:inline>
        </w:drawing>
      </w:r>
    </w:p>
    <w:p>
      <w:pPr>
        <w:pStyle w:val="38"/>
        <w:spacing w:after="190"/>
        <w:rPr>
          <w:rFonts w:cs="Times New Roman"/>
          <w:color w:val="000000" w:themeColor="text1"/>
          <w:sz w:val="28"/>
          <w:szCs w:val="24"/>
          <w14:textFill>
            <w14:solidFill>
              <w14:schemeClr w14:val="tx1"/>
            </w14:solidFill>
          </w14:textFill>
        </w:rPr>
      </w:pPr>
      <w:r>
        <w:rPr>
          <w:rFonts w:cs="Times New Roman"/>
          <w:color w:val="000000" w:themeColor="text1"/>
          <w:sz w:val="28"/>
          <w:szCs w:val="24"/>
          <w14:textFill>
            <w14:solidFill>
              <w14:schemeClr w14:val="tx1"/>
            </w14:solidFill>
          </w14:textFill>
        </w:rPr>
        <w:t>图2.2-</w:t>
      </w:r>
      <w:r>
        <w:rPr>
          <w:rFonts w:hint="eastAsia" w:cs="Times New Roman"/>
          <w:color w:val="000000" w:themeColor="text1"/>
          <w:sz w:val="28"/>
          <w:szCs w:val="24"/>
          <w:lang w:val="en-US" w:eastAsia="zh-CN"/>
          <w14:textFill>
            <w14:solidFill>
              <w14:schemeClr w14:val="tx1"/>
            </w14:solidFill>
          </w14:textFill>
        </w:rPr>
        <w:t>3</w:t>
      </w:r>
      <w:r>
        <w:rPr>
          <w:rFonts w:cs="Times New Roman"/>
          <w:color w:val="000000" w:themeColor="text1"/>
          <w:sz w:val="28"/>
          <w:szCs w:val="24"/>
          <w14:textFill>
            <w14:solidFill>
              <w14:schemeClr w14:val="tx1"/>
            </w14:solidFill>
          </w14:textFill>
        </w:rPr>
        <w:t xml:space="preserve"> 坝</w:t>
      </w:r>
      <w:r>
        <w:rPr>
          <w:rFonts w:hint="eastAsia" w:cs="Times New Roman"/>
          <w:color w:val="000000" w:themeColor="text1"/>
          <w:sz w:val="28"/>
          <w:szCs w:val="24"/>
          <w14:textFill>
            <w14:solidFill>
              <w14:schemeClr w14:val="tx1"/>
            </w14:solidFill>
          </w14:textFill>
        </w:rPr>
        <w:t>后</w:t>
      </w:r>
      <w:r>
        <w:rPr>
          <w:rFonts w:cs="Times New Roman"/>
          <w:color w:val="000000" w:themeColor="text1"/>
          <w:sz w:val="28"/>
          <w:szCs w:val="24"/>
          <w14:textFill>
            <w14:solidFill>
              <w14:schemeClr w14:val="tx1"/>
            </w14:solidFill>
          </w14:textFill>
        </w:rPr>
        <w:t>集水池</w:t>
      </w:r>
    </w:p>
    <w:p>
      <w:pPr>
        <w:ind w:firstLine="560"/>
        <w:rPr>
          <w:rFonts w:cs="Times New Roman"/>
          <w:color w:val="000000" w:themeColor="text1"/>
          <w:szCs w:val="28"/>
          <w14:textFill>
            <w14:solidFill>
              <w14:schemeClr w14:val="tx1"/>
            </w14:solidFill>
          </w14:textFill>
        </w:rPr>
      </w:pPr>
      <w:r>
        <w:rPr>
          <w:rFonts w:ascii="仿宋" w:hAnsi="仿宋" w:cs="Times New Roman"/>
          <w:color w:val="000000" w:themeColor="text1"/>
          <w:szCs w:val="24"/>
          <w14:textFill>
            <w14:solidFill>
              <w14:schemeClr w14:val="tx1"/>
            </w14:solidFill>
          </w14:textFill>
        </w:rPr>
        <w:t>⑤</w:t>
      </w:r>
      <w:r>
        <w:rPr>
          <w:rFonts w:cs="Times New Roman"/>
          <w:color w:val="000000" w:themeColor="text1"/>
          <w:szCs w:val="28"/>
          <w14:textFill>
            <w14:solidFill>
              <w14:schemeClr w14:val="tx1"/>
            </w14:solidFill>
          </w14:textFill>
        </w:rPr>
        <w:t>排渗系统及监测系统</w:t>
      </w:r>
    </w:p>
    <w:p>
      <w:pPr>
        <w:ind w:firstLine="560"/>
        <w:rPr>
          <w:rFonts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本尾矿库已有尾矿坝变形观测系统（观测柱）和坝体浸润线观测测压孔管。回采时按照设计要求继续对尾矿库进行动</w:t>
      </w:r>
      <w:r>
        <w:rPr>
          <w:color w:val="000000" w:themeColor="text1"/>
          <w14:textFill>
            <w14:solidFill>
              <w14:schemeClr w14:val="tx1"/>
            </w14:solidFill>
          </w14:textFill>
        </w:rPr>
        <w:t>态监测，以确保尾矿库回采卸荷后的坝体安全。尾矿回采初期每月观测一次，当坝体垂直或水平变形量已基本稳定，并已掌握其变化规律后，逐渐减为每季或半年一次。</w:t>
      </w:r>
    </w:p>
    <w:p>
      <w:pPr>
        <w:ind w:firstLine="560"/>
        <w:rPr>
          <w:rFonts w:cs="Times New Roman"/>
          <w:color w:val="000000" w:themeColor="text1"/>
          <w:szCs w:val="28"/>
          <w14:textFill>
            <w14:solidFill>
              <w14:schemeClr w14:val="tx1"/>
            </w14:solidFill>
          </w14:textFill>
        </w:rPr>
      </w:pPr>
      <w:r>
        <w:rPr>
          <w:rFonts w:ascii="仿宋" w:hAnsi="仿宋" w:cs="Times New Roman"/>
          <w:color w:val="000000" w:themeColor="text1"/>
          <w:szCs w:val="24"/>
          <w14:textFill>
            <w14:solidFill>
              <w14:schemeClr w14:val="tx1"/>
            </w14:solidFill>
          </w14:textFill>
        </w:rPr>
        <w:t>⑥</w:t>
      </w:r>
      <w:r>
        <w:rPr>
          <w:rFonts w:cs="Times New Roman"/>
          <w:color w:val="000000" w:themeColor="text1"/>
          <w:szCs w:val="28"/>
          <w14:textFill>
            <w14:solidFill>
              <w14:schemeClr w14:val="tx1"/>
            </w14:solidFill>
          </w14:textFill>
        </w:rPr>
        <w:t>防渗系统</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在库区范围内，根据尾矿库的岩土层性质分析，库内堆积尾矿砂及坝体局部的含砾粉质粘土排水性相对较好，弱透水性为主、局部颗粒粗处透水性中等；库岸及库底分布较厚的第四系坡残积粉质粘土层则相对隔水，两库岸深部的基岩倾向库尾(南向)，对防渗较为有利，不存在坝体渗漏或绕坝渗漏的条件。</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坝体堆填的粘性土碾压性好，透水性弱、渗漏量极小，属隔水层；下卧坡残积粉质粘土层硬塑～坚硬状、饱和，渗漏量极小，也属隔水层。坝体的浸润线位置在坝体中心地带，浸润线较为适宜，利于坝体的稳定。库区粘性土的浸水性极强、易于饱和，饱和后则透水性较弱。下覆深部的第三系泥质粉砂岩，岩体结构致密、薄~中厚层状、裂隙多被泥质充填，透水性较弱，亦属相对隔水层。</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综述之，因库区为地表水的汇集区，雨季洪水主要靠库内排水斜槽一排本管及右岸坝肩溢洪道进行排泄。岸坡排水斜糟槽身及盖板完好无损，排水通畅。</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⑦地下水监测井</w:t>
      </w:r>
    </w:p>
    <w:p>
      <w:pPr>
        <w:bidi w:val="0"/>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云南安宁泰源工贸集团有限公司景洪分公司曼南坎铁矿尾库</w:t>
      </w:r>
      <w:r>
        <w:rPr>
          <w:rFonts w:hint="default" w:ascii="Times New Roman" w:hAnsi="Times New Roman" w:cs="Times New Roman"/>
          <w:color w:val="000000" w:themeColor="text1"/>
          <w:highlight w:val="none"/>
          <w:lang w:val="en-US" w:eastAsia="zh-CN"/>
          <w14:textFill>
            <w14:solidFill>
              <w14:schemeClr w14:val="tx1"/>
            </w14:solidFill>
          </w14:textFill>
        </w:rPr>
        <w:t>现状设置了3个地下水监测井。</w:t>
      </w:r>
    </w:p>
    <w:p>
      <w:pPr>
        <w:pStyle w:val="30"/>
        <w:ind w:left="0" w:leftChars="0" w:firstLine="0" w:firstLineChars="0"/>
        <w:jc w:val="center"/>
        <w:rPr>
          <w:rFonts w:hint="default" w:ascii="Times New Roman" w:hAnsi="Times New Roman" w:eastAsia="宋体" w:cs="Times New Roman"/>
          <w:b/>
          <w:color w:val="000000" w:themeColor="text1"/>
          <w:kern w:val="2"/>
          <w:sz w:val="24"/>
          <w:szCs w:val="20"/>
          <w:highlight w:val="none"/>
          <w:lang w:val="en-US" w:eastAsia="zh-CN" w:bidi="ar-SA"/>
          <w14:textFill>
            <w14:solidFill>
              <w14:schemeClr w14:val="tx1"/>
            </w14:solidFill>
          </w14:textFill>
        </w:rPr>
      </w:pPr>
      <w:r>
        <w:rPr>
          <w:rFonts w:hint="default" w:ascii="Times New Roman" w:hAnsi="Times New Roman" w:cs="Times New Roman"/>
          <w:b/>
          <w:color w:val="000000" w:themeColor="text1"/>
          <w:kern w:val="2"/>
          <w:sz w:val="24"/>
          <w:szCs w:val="20"/>
          <w:highlight w:val="none"/>
          <w:lang w:val="en-US" w:eastAsia="zh-CN" w:bidi="ar-SA"/>
          <w14:textFill>
            <w14:solidFill>
              <w14:schemeClr w14:val="tx1"/>
            </w14:solidFill>
          </w14:textFill>
        </w:rPr>
        <w:t>表</w:t>
      </w:r>
      <w:r>
        <w:rPr>
          <w:rFonts w:hint="eastAsia" w:ascii="Times New Roman" w:hAnsi="Times New Roman" w:cs="Times New Roman"/>
          <w:b/>
          <w:color w:val="000000" w:themeColor="text1"/>
          <w:kern w:val="2"/>
          <w:sz w:val="24"/>
          <w:szCs w:val="20"/>
          <w:highlight w:val="none"/>
          <w:lang w:val="en-US" w:eastAsia="zh-CN" w:bidi="ar-SA"/>
          <w14:textFill>
            <w14:solidFill>
              <w14:schemeClr w14:val="tx1"/>
            </w14:solidFill>
          </w14:textFill>
        </w:rPr>
        <w:t>2</w:t>
      </w:r>
      <w:r>
        <w:rPr>
          <w:rFonts w:hint="default" w:ascii="Times New Roman" w:hAnsi="Times New Roman" w:cs="Times New Roman"/>
          <w:b/>
          <w:color w:val="000000" w:themeColor="text1"/>
          <w:kern w:val="2"/>
          <w:sz w:val="24"/>
          <w:szCs w:val="20"/>
          <w:highlight w:val="none"/>
          <w:lang w:val="en-US" w:eastAsia="zh-CN" w:bidi="ar-SA"/>
          <w14:textFill>
            <w14:solidFill>
              <w14:schemeClr w14:val="tx1"/>
            </w14:solidFill>
          </w14:textFill>
        </w:rPr>
        <w:t xml:space="preserve">-1 </w:t>
      </w:r>
      <w:r>
        <w:rPr>
          <w:rFonts w:hint="default" w:ascii="Times New Roman" w:hAnsi="Times New Roman" w:eastAsia="宋体" w:cs="Times New Roman"/>
          <w:b/>
          <w:color w:val="000000" w:themeColor="text1"/>
          <w:kern w:val="2"/>
          <w:sz w:val="24"/>
          <w:szCs w:val="20"/>
          <w:highlight w:val="none"/>
          <w:lang w:val="en-US" w:eastAsia="zh-CN" w:bidi="ar-SA"/>
          <w14:textFill>
            <w14:solidFill>
              <w14:schemeClr w14:val="tx1"/>
            </w14:solidFill>
          </w14:textFill>
        </w:rPr>
        <w:t>曼南坎尾矿库地下水监测井</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2067"/>
        <w:gridCol w:w="2839"/>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监测井编号</w:t>
            </w:r>
          </w:p>
        </w:tc>
        <w:tc>
          <w:tcPr>
            <w:tcW w:w="2067"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监测井名称</w:t>
            </w:r>
          </w:p>
        </w:tc>
        <w:tc>
          <w:tcPr>
            <w:tcW w:w="283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所在位置</w:t>
            </w:r>
          </w:p>
        </w:tc>
        <w:tc>
          <w:tcPr>
            <w:tcW w:w="212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1#监测井</w:t>
            </w:r>
          </w:p>
        </w:tc>
        <w:tc>
          <w:tcPr>
            <w:tcW w:w="2067"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尾矿库上游监测井</w:t>
            </w:r>
          </w:p>
        </w:tc>
        <w:tc>
          <w:tcPr>
            <w:tcW w:w="283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100°39′6.74″，21°34′27.76″</w:t>
            </w:r>
          </w:p>
        </w:tc>
        <w:tc>
          <w:tcPr>
            <w:tcW w:w="212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上游对照井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2#监测井</w:t>
            </w:r>
          </w:p>
        </w:tc>
        <w:tc>
          <w:tcPr>
            <w:tcW w:w="2067"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尾矿库下游监测井</w:t>
            </w:r>
          </w:p>
        </w:tc>
        <w:tc>
          <w:tcPr>
            <w:tcW w:w="283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100°39′9.72″，21°34′47.60″</w:t>
            </w:r>
          </w:p>
        </w:tc>
        <w:tc>
          <w:tcPr>
            <w:tcW w:w="212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下游污染观测井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3#监测井</w:t>
            </w:r>
          </w:p>
        </w:tc>
        <w:tc>
          <w:tcPr>
            <w:tcW w:w="2067"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尾矿库下游监测井</w:t>
            </w:r>
            <w:bookmarkStart w:id="436" w:name="_GoBack"/>
            <w:bookmarkEnd w:id="436"/>
          </w:p>
        </w:tc>
        <w:tc>
          <w:tcPr>
            <w:tcW w:w="283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100°38′52.45″，21°34′59.65″</w:t>
            </w:r>
          </w:p>
        </w:tc>
        <w:tc>
          <w:tcPr>
            <w:tcW w:w="2129" w:type="dxa"/>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下游污染观测井</w:t>
            </w:r>
          </w:p>
        </w:tc>
      </w:tr>
    </w:tbl>
    <w:p>
      <w:pPr>
        <w:bidi w:val="0"/>
        <w:ind w:left="0" w:leftChars="0" w:firstLine="0" w:firstLineChars="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drawing>
          <wp:inline distT="0" distB="0" distL="114300" distR="114300">
            <wp:extent cx="2614930" cy="3242310"/>
            <wp:effectExtent l="0" t="0" r="6350" b="3810"/>
            <wp:docPr id="92" name="图片 92" descr="IMG_20221129_114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IMG_20221129_114033"/>
                    <pic:cNvPicPr>
                      <a:picLocks noChangeAspect="1"/>
                    </pic:cNvPicPr>
                  </pic:nvPicPr>
                  <pic:blipFill>
                    <a:blip r:embed="rId50"/>
                    <a:srcRect l="13404" t="17914" r="10766" b="11597"/>
                    <a:stretch>
                      <a:fillRect/>
                    </a:stretch>
                  </pic:blipFill>
                  <pic:spPr>
                    <a:xfrm>
                      <a:off x="0" y="0"/>
                      <a:ext cx="2614930" cy="3242310"/>
                    </a:xfrm>
                    <a:prstGeom prst="rect">
                      <a:avLst/>
                    </a:prstGeom>
                  </pic:spPr>
                </pic:pic>
              </a:graphicData>
            </a:graphic>
          </wp:inline>
        </w:drawing>
      </w:r>
      <w:r>
        <w:rPr>
          <w:rFonts w:hint="default" w:ascii="Times New Roman" w:hAnsi="Times New Roman" w:cs="Times New Roman"/>
          <w:color w:val="000000" w:themeColor="text1"/>
          <w:highlight w:val="none"/>
          <w:lang w:val="en-US" w:eastAsia="zh-CN"/>
          <w14:textFill>
            <w14:solidFill>
              <w14:schemeClr w14:val="tx1"/>
            </w14:solidFill>
          </w14:textFill>
        </w:rPr>
        <w:drawing>
          <wp:inline distT="0" distB="0" distL="114300" distR="114300">
            <wp:extent cx="2578100" cy="3233420"/>
            <wp:effectExtent l="0" t="0" r="12700" b="12700"/>
            <wp:docPr id="93" name="图片 93" descr="4179f1d4bac1df9d4af5ec17592bc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4179f1d4bac1df9d4af5ec17592bc2f"/>
                    <pic:cNvPicPr>
                      <a:picLocks noChangeAspect="1"/>
                    </pic:cNvPicPr>
                  </pic:nvPicPr>
                  <pic:blipFill>
                    <a:blip r:embed="rId51"/>
                    <a:srcRect l="3375" t="4449" r="13616" b="17468"/>
                    <a:stretch>
                      <a:fillRect/>
                    </a:stretch>
                  </pic:blipFill>
                  <pic:spPr>
                    <a:xfrm>
                      <a:off x="0" y="0"/>
                      <a:ext cx="2578100" cy="3233420"/>
                    </a:xfrm>
                    <a:prstGeom prst="rect">
                      <a:avLst/>
                    </a:prstGeom>
                  </pic:spPr>
                </pic:pic>
              </a:graphicData>
            </a:graphic>
          </wp:inline>
        </w:drawing>
      </w:r>
    </w:p>
    <w:p>
      <w:pPr>
        <w:pStyle w:val="3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1#监测井（上游对照井）              2#监测井（下游观测井）</w:t>
      </w:r>
    </w:p>
    <w:p>
      <w:pPr>
        <w:bidi w:val="0"/>
        <w:ind w:left="0" w:leftChars="0" w:firstLine="0" w:firstLineChars="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drawing>
          <wp:inline distT="0" distB="0" distL="114300" distR="114300">
            <wp:extent cx="2614930" cy="3613785"/>
            <wp:effectExtent l="0" t="0" r="6350" b="13335"/>
            <wp:docPr id="94" name="图片 94" descr="7acf65b88fefbdc7e4c74d1d0c2a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7acf65b88fefbdc7e4c74d1d0c2a639"/>
                    <pic:cNvPicPr>
                      <a:picLocks noChangeAspect="1"/>
                    </pic:cNvPicPr>
                  </pic:nvPicPr>
                  <pic:blipFill>
                    <a:blip r:embed="rId52"/>
                    <a:srcRect l="5122" t="6211" b="32635"/>
                    <a:stretch>
                      <a:fillRect/>
                    </a:stretch>
                  </pic:blipFill>
                  <pic:spPr>
                    <a:xfrm>
                      <a:off x="0" y="0"/>
                      <a:ext cx="2614930" cy="3613785"/>
                    </a:xfrm>
                    <a:prstGeom prst="rect">
                      <a:avLst/>
                    </a:prstGeom>
                  </pic:spPr>
                </pic:pic>
              </a:graphicData>
            </a:graphic>
          </wp:inline>
        </w:drawing>
      </w:r>
    </w:p>
    <w:p>
      <w:pPr>
        <w:pStyle w:val="3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3#监测井</w:t>
      </w:r>
      <w:r>
        <w:rPr>
          <w:rFonts w:hint="default" w:ascii="Times New Roman" w:hAnsi="Times New Roman" w:cs="Times New Roman"/>
          <w:color w:val="000000" w:themeColor="text1"/>
          <w:lang w:val="en-US" w:eastAsia="zh-CN"/>
          <w14:textFill>
            <w14:solidFill>
              <w14:schemeClr w14:val="tx1"/>
            </w14:solidFill>
          </w14:textFill>
        </w:rPr>
        <w:t>（下游观测井）</w:t>
      </w:r>
    </w:p>
    <w:p>
      <w:pPr>
        <w:bidi w:val="0"/>
        <w:ind w:left="0" w:leftChars="0" w:firstLine="0" w:firstLineChars="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地下水监测井</w:t>
      </w:r>
    </w:p>
    <w:p>
      <w:pPr>
        <w:ind w:firstLine="560"/>
        <w:rPr>
          <w:rFonts w:cs="Times New Roman"/>
          <w:color w:val="000000" w:themeColor="text1"/>
          <w14:textFill>
            <w14:solidFill>
              <w14:schemeClr w14:val="tx1"/>
            </w14:solidFill>
          </w14:textFill>
        </w:rPr>
      </w:pPr>
    </w:p>
    <w:p>
      <w:pPr>
        <w:pStyle w:val="18"/>
        <w:rPr>
          <w:color w:val="000000" w:themeColor="text1"/>
          <w14:textFill>
            <w14:solidFill>
              <w14:schemeClr w14:val="tx1"/>
            </w14:solidFill>
          </w14:textFill>
        </w:rPr>
      </w:pPr>
      <w:bookmarkStart w:id="39" w:name="_Toc18111"/>
      <w:bookmarkStart w:id="40" w:name="_Toc43143173"/>
      <w:r>
        <w:rPr>
          <w:color w:val="000000" w:themeColor="text1"/>
          <w14:textFill>
            <w14:solidFill>
              <w14:schemeClr w14:val="tx1"/>
            </w14:solidFill>
          </w14:textFill>
        </w:rPr>
        <w:t>2.3周边自然概况</w:t>
      </w:r>
      <w:bookmarkEnd w:id="39"/>
      <w:bookmarkEnd w:id="40"/>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）地形地貌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景洪市地处横断山系纵谷区南延尾端，位于澜沧江大断裂带两侧，属山原地形，北高南低，山峦叠崎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沟谷纵横。境内山脉走向多由西北至东南，山地面积占总面积的95%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最高海拔在西部的路南山主峰南勒各角，海拔2196m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最低点在东南部南阿河汇入澜沧江处，海拔485m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与最高点相对高差为1711m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地貌类型为山原地和山间盆地。</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勐龙镇地形呈角形，南、西、北是山，中、东部是勐龙镇坝子。最高海拔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南勒各角</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2196m，最低海拔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南阿河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河口485m。</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项目所在地曼南坎铁矿属低山丘陵地区，东低西高，北高南低。开采范围最高海拔711.5m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最低海拔655m.这部分区域属西南“三江”南段，兰坪~思茅陆块之忙怀~景洪多金属成矿带内。区域内地层主要为元古界大勐龙群变质岩系，区域岩浆活动强烈，有印</w:t>
      </w:r>
      <w:r>
        <w:rPr>
          <w:rFonts w:hint="eastAsia"/>
          <w:color w:val="000000" w:themeColor="text1"/>
          <w14:textFill>
            <w14:solidFill>
              <w14:schemeClr w14:val="tx1"/>
            </w14:solidFill>
          </w14:textFill>
        </w:rPr>
        <w:t>度</w:t>
      </w:r>
      <w:r>
        <w:rPr>
          <w:color w:val="000000" w:themeColor="text1"/>
          <w14:textFill>
            <w14:solidFill>
              <w14:schemeClr w14:val="tx1"/>
            </w14:solidFill>
          </w14:textFill>
        </w:rPr>
        <w:t>支期中基性岩、燕山期花岗岩、喜马拉雅期石英二长斑岩及不明酸性侵入岩广泛分布</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）地质情况</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区域地质资料，曼南坎铁矿选厂尾矿库在区城上处于云南山字形构造带，介于两大区域断裂(大勐龙～曼帕断裂及帕冷～勐床断裂)之间，区域断裂构造方向以近南北、北东~南西向为主，向南西延伸的主干断裂及次生断裂具压扭性、平移、正、逆断层并排趋势，并相互作用、相互控制，区域断裂主导控制了多期活动特征，岩浆活动频繁，形成了厚度较大的元古界澜沧群、大勐龙群的地层:上部绢云母片岩、石英片岩、粘板岩、板岩、变质石英砂岩，含菱铁矿、磁铁矿及褐铁矿层；中部绢云母、二云石英片岩、片麻岩及大理岩、角闪岩，含磁铁矿层；下部片麻岩、变粒岩及黑云母石英片岩。区域内褶皱构造以向斜开阔、背斜狭窄为特征，其形态常因断裂破坏而不完整;地下水类型以构造裂隙水为主。综合分析，本区褶皱构造不发育，地貌属低山、丘陵地貌区；大勐龙~曼帕断裂属区域正断层的南端，帕冷～勐床断裂属高角度区域性逆断层的南西端，在两大区域断裂的控制影响下，次生断裂（贺光及叭戛断裂）对区域的影响较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）周边村民饮用水情况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该项目所影响的局部水文地质单元内无集中及分散居民饮用水源，也不属于周边饮用水源径流补给区。</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选厂周边村民饮用水来自于距离选厂地下水上游300m的泉点，其他村庄泉点均距离本项目1km以上。</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）气象条件</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尾矿库所在区域位于景洪市勐龙镇，景洪</w:t>
      </w:r>
      <w:r>
        <w:rPr>
          <w:color w:val="000000" w:themeColor="text1"/>
          <w14:textFill>
            <w14:solidFill>
              <w14:schemeClr w14:val="tx1"/>
            </w14:solidFill>
          </w14:textFill>
        </w:rPr>
        <w:t>市在横断山系纵谷区南端，地处澜沧江大断裂带两侧，具山原地形，北高南低，两侧高，中部低，山峦叠嶂，沟壑纵横。最高海拔2196.8</w:t>
      </w:r>
      <w:r>
        <w:rPr>
          <w:rFonts w:hint="eastAsia"/>
          <w:color w:val="000000" w:themeColor="text1"/>
          <w14:textFill>
            <w14:solidFill>
              <w14:schemeClr w14:val="tx1"/>
            </w14:solidFill>
          </w14:textFill>
        </w:rPr>
        <w:t>m</w:t>
      </w:r>
      <w:r>
        <w:rPr>
          <w:color w:val="000000" w:themeColor="text1"/>
          <w14:textFill>
            <w14:solidFill>
              <w14:schemeClr w14:val="tx1"/>
            </w14:solidFill>
          </w14:textFill>
        </w:rPr>
        <w:t>，最低海拔485</w:t>
      </w:r>
      <w:r>
        <w:rPr>
          <w:rFonts w:hint="eastAsia"/>
          <w:color w:val="000000" w:themeColor="text1"/>
          <w14:textFill>
            <w14:solidFill>
              <w14:schemeClr w14:val="tx1"/>
            </w14:solidFill>
          </w14:textFill>
        </w:rPr>
        <w:t>m</w:t>
      </w:r>
      <w:r>
        <w:rPr>
          <w:color w:val="000000" w:themeColor="text1"/>
          <w14:textFill>
            <w14:solidFill>
              <w14:schemeClr w14:val="tx1"/>
            </w14:solidFill>
          </w14:textFill>
        </w:rPr>
        <w:t>。市府所在地海拔552.7</w:t>
      </w:r>
      <w:r>
        <w:rPr>
          <w:rFonts w:hint="eastAsia"/>
          <w:color w:val="000000" w:themeColor="text1"/>
          <w14:textFill>
            <w14:solidFill>
              <w14:schemeClr w14:val="tx1"/>
            </w14:solidFill>
          </w14:textFill>
        </w:rPr>
        <w:t>m</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景洪市属</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"https://baike.so.com/doc/6547210-6760957.html" \t "_blank"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北热带</w:t>
      </w:r>
      <w:r>
        <w:rPr>
          <w:color w:val="000000" w:themeColor="text1"/>
          <w14:textFill>
            <w14:solidFill>
              <w14:schemeClr w14:val="tx1"/>
            </w14:solidFill>
          </w14:textFill>
        </w:rPr>
        <w:fldChar w:fldCharType="end"/>
      </w:r>
      <w:r>
        <w:rPr>
          <w:color w:val="000000" w:themeColor="text1"/>
          <w14:textFill>
            <w14:solidFill>
              <w14:schemeClr w14:val="tx1"/>
            </w14:solidFill>
          </w14:textFill>
        </w:rPr>
        <w:t>和</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"https://baike.so.com/doc/4458093-4666705.html" \t "_blank"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南亚热带</w:t>
      </w:r>
      <w:r>
        <w:rPr>
          <w:color w:val="000000" w:themeColor="text1"/>
          <w14:textFill>
            <w14:solidFill>
              <w14:schemeClr w14:val="tx1"/>
            </w14:solidFill>
          </w14:textFill>
        </w:rPr>
        <w:fldChar w:fldCharType="end"/>
      </w:r>
      <w:r>
        <w:rPr>
          <w:color w:val="000000" w:themeColor="text1"/>
          <w14:textFill>
            <w14:solidFill>
              <w14:schemeClr w14:val="tx1"/>
            </w14:solidFill>
          </w14:textFill>
        </w:rPr>
        <w:t>湿润季风气候，长夏无冬，干湿季分明，气候属热带内陆山地气候类型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兼有</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"https://baike.so.com/doc/6249188-6462598.html" \t "_blank"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大陆性气候</w:t>
      </w:r>
      <w:r>
        <w:rPr>
          <w:color w:val="000000" w:themeColor="text1"/>
          <w14:textFill>
            <w14:solidFill>
              <w14:schemeClr w14:val="tx1"/>
            </w14:solidFill>
          </w14:textFill>
        </w:rPr>
        <w:fldChar w:fldCharType="end"/>
      </w:r>
      <w:r>
        <w:rPr>
          <w:color w:val="000000" w:themeColor="text1"/>
          <w14:textFill>
            <w14:solidFill>
              <w14:schemeClr w14:val="tx1"/>
            </w14:solidFill>
          </w14:textFill>
        </w:rPr>
        <w:t>和</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"https://baike.so.com/doc/3275265-3450478.html" \t "_blank"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海洋性气候</w:t>
      </w:r>
      <w:r>
        <w:rPr>
          <w:color w:val="000000" w:themeColor="text1"/>
          <w14:textFill>
            <w14:solidFill>
              <w14:schemeClr w14:val="tx1"/>
            </w14:solidFill>
          </w14:textFill>
        </w:rPr>
        <w:fldChar w:fldCharType="end"/>
      </w:r>
      <w:r>
        <w:rPr>
          <w:color w:val="000000" w:themeColor="text1"/>
          <w14:textFill>
            <w14:solidFill>
              <w14:schemeClr w14:val="tx1"/>
            </w14:solidFill>
          </w14:textFill>
        </w:rPr>
        <w:t>的优点而无其缺点，日温差大，年温差小，静风少寒，基本无霜。年平均气温在18.6°-21.9°之间。全年年平均降水量在1200-1700毫米，年平时日照1800-2300小时，太阳辐射总量120-136千卡/年，年平均相对湿度在80-86之间。风向多为东南风和西南风，年平均风速0.5-1.5米/秒，静风频率71%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常年受热带气流的控制，造成了高温多雨、干湿季分明的气候特点。</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勐龙镇辖区年平均气温21.4C，极端最高气温39.5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极端最低气温为-0.5</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平均降雨量1353.0mm,每年6~10月为雨季，降雨量占全年的61.35%，年蒸发重1641.4mm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最多风向为南风，平均风力为1.5m/s，最大风速为15.0m/s</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极端最大风速为290m/s</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）土壤植被</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景洪市在热带、亚热带生物气候和不同地形的条件下，土壤的发育具有明显的地带性、区域性特性。共有6个土类、13个亚类、36个土属、65个土种。以赤红壤、砖红壤为主，土层深厚，自然肥力高，是全国第二大黑土区。</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项目区土地用途为农用地，周边大多是香蕉种植基地。</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）水文水系</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景洪市境内河网密布，沟壑纵横，河流均属澜沧江水系。澜沧江是我国西南地区重要的国际河流，发源于青海省的唐古拉山，由西藏东部流入云南，自思茅市小橄榄坝流入景洪市，从勐腊县出境，在西双版纳州内长1836km</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评价区域内主要河流有南坎河和南阿河，南坎河为南阿河的一级支流，为拟建项目的纳污河流。南阿河是澜沧江的一级支流，南阿河发源于动海县布朗山乡巴长龙，径流面积1883km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河长140.0km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主要支流有南背龙河、南骑乐各河、南背囡河等。多年平均年径流深595mm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径流系数0.376，多年平均年径流量8.34亿m</w:t>
      </w:r>
      <w:r>
        <w:rPr>
          <w:rFonts w:hint="eastAsia"/>
          <w:color w:val="000000" w:themeColor="text1"/>
          <w:vertAlign w:val="superscript"/>
          <w14:textFill>
            <w14:solidFill>
              <w14:schemeClr w14:val="tx1"/>
            </w14:solidFill>
          </w14:textFill>
        </w:rPr>
        <w:t>3</w:t>
      </w:r>
      <w:r>
        <w:rPr>
          <w:color w:val="000000" w:themeColor="text1"/>
          <w14:textFill>
            <w14:solidFill>
              <w14:schemeClr w14:val="tx1"/>
            </w14:solidFill>
          </w14:textFill>
        </w:rPr>
        <w:t>，最大流量203.7</w:t>
      </w:r>
      <w:r>
        <w:rPr>
          <w:rFonts w:hint="eastAsia"/>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/s，最小流量8.55m</w:t>
      </w:r>
      <w:r>
        <w:rPr>
          <w:rFonts w:hint="eastAsia"/>
          <w:color w:val="000000" w:themeColor="text1"/>
          <w:vertAlign w:val="superscript"/>
          <w14:textFill>
            <w14:solidFill>
              <w14:schemeClr w14:val="tx1"/>
            </w14:solidFill>
          </w14:textFill>
        </w:rPr>
        <w:t>3</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南坎河从北西向南东在矿区中部流过，在勐龙镇政府所在地东面汇入南阿河、河床可视为该区最低侵蚀基准面。经查阅《云南省西双版纳傣族自治州水文手册》中水文资料，南坎河径流面积9.51</w:t>
      </w:r>
      <w:r>
        <w:rPr>
          <w:rFonts w:hint="eastAsia"/>
          <w:color w:val="000000" w:themeColor="text1"/>
          <w14:textFill>
            <w14:solidFill>
              <w14:schemeClr w14:val="tx1"/>
            </w14:solidFill>
          </w14:textFill>
        </w:rPr>
        <w:t>k</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，河水干季流量约1.16m</w:t>
      </w:r>
      <w:r>
        <w:rPr>
          <w:rFonts w:hint="eastAsia"/>
          <w:color w:val="000000" w:themeColor="text1"/>
          <w:vertAlign w:val="superscript"/>
          <w14:textFill>
            <w14:solidFill>
              <w14:schemeClr w14:val="tx1"/>
            </w14:solidFill>
          </w14:textFill>
        </w:rPr>
        <w:t>3</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水文地质</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根据尾矿库区地质测绘及钻探揭露，尾矿库区及坝体区出露的地层按土层的成因及力学性质将其划分为①～③三个单元层、两个亚层，按地层自上而下的顺序进行分述，共有如下几层:</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①层尾矿砂填土(Qml)：灰、褐灰、黑灰色，由尾矿砂(以粉土、粉砂状为主)组成，为尾矿库堆填的主要地层，松散～稍密，干～稍湿、饱和。表部含少量植物根系，由选矿后冲填的薄层粉砂、粗细砂及少量细小砾石组成，呈交替或互层状，局部掺杂泥质粉土成分、泥质稍重。扰动易坍塌、水冲刷易流失;水位线以上为干～稍湿、松散，水位线以下为饱和状态、稍密；摇震反应中等，韧性及干强度低；排水后胶结速度较快，易于板结。尾矿砂土的密实程度大致与埋深成正比关系，5.0m以上松散、5.0m以下呈稍密状为主、局部(中下部)中密。主要分布于尾矿库盆内，揭露厚度3.5~28.5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①-1层护坡块石填土(Qml):灰白、深灰、灰、褐黄色，由大理岩质块碎石组成，干燥，松散～密实，坝顶干铺、坝脚为浆砌块碎石。主要用于坝顶、坝脚处的护坡、防水冲刷、透水性好。仅分布于坝顶、坝脚及外坝坡排水沟地段，坝顶揭露厚度0.5m，坝脚护坡浆砌石调查厚度3.0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①-2层尾矿泥填土(Qml):褐黄、灰黄、灰色，湿～饱和，松散～稍密。</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由尾矿水中的粉土、泥质夹粉土经静水环境沉淀后形成的粉土、粘土为主，粉土、粘土呈薄层交替或互层状，状态稍差，高压缩性：摇震反应中等，韧性及干强度低，排水后胶结速度较快：扰动易坍塌、易缩径：水位线以上为湿、松散，水位线以下为饱和状态、稍密。呈透镜体状分布于尾矿库内的尾矿砂中，揭露厚度0.6~12.7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②层坝体填土:(Qml):褐黄、褐红、灰绿色，局部褐黄夹灰色，稍密～中密，稍湿～湿。由粉质粘土、粘土混5~10%风化粉砂岩碎块石组成，具硬塑状，表部含少量植物根系，均匀性差，含碎石、角砾不均匀，局部夹薄层粉土、团块状粉质粘土：切面光滑，无摇振反应，韧性及干强度较高。该层仅分布在尾矿坝体区，厚1.1~41.2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③层坡残积粉质粘土(Qdl+el)：褐黄、褐红、灰绿、灰色，稍湿～湿、近地表水体处饱和，硬塑～坚硬状。局部含3~20%的风化泥质粉砂岩块碎石、角砾；部分为粘土层，层厚随地形起伏而变化。浸水易软化、崩解，切面粗糙，无摇振反应，韧性及干强度较高。该层分布于整个库区，在沟谷地段及斜坡地带厚度较大，揭露厚度2.7~11.5m。在坝脚池塘处该层表部沉积有厚0.2~0.5m的淤泥层。</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④层泥质粉砂岩(E)：灰黄、黄褐、紫褐色等，薄～中厚层状，裂隙发育，钙泥质充填。该层分布于整个场地，为整个库区的下伏基岩，埋深较大，本次钻探深度内未能揭露到该层，斜坡地带埋深大于10m。</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尾矿库区处于浅切割低山地貌的宽缓冲沟地段，沟谷长度约500m,现沟谷已全被尾矿库堆填尾矿占据，除各类人工填土外，库区原生土全为第四系坡残积粉质粘土层，下覆基岩属新生界第三系(E)泥质粉砂岩，本次勘察未予揭露。</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该尾矿库区为坡残积粘性土分布区，两岸丘陵地带坡残积地层厚度较大、地势平缓起伏;库区内自然斜坡较缓，坡角15~25°，库区坡体稳定性较好，坡体完整性好，库岸稳定。库区断裂构造不发育，尾矿库处于相对稳定的地段。整个尾矿库区、坝体区均未发现明显的崩塌、滑坡、泥石流等不良地质现象，无水毁土地痕迹，两岸坡面大部被橡胶林及灌木丛覆盖，具明显的稳坡固土效能，能最大限度遏制坝坡面的水土流失，对坝体稳定有利。</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区域矿产</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景洪市的矿产资源有铁、锰、铜、铅、锌等，目前已探明储量，并开发利用的有铁矿、锰矿和煤矿等。项目选厂及尾矿库所在区域未计划布置矿道。</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）地震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据历史记载，本区内地震频繁、地震烈度一般为3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5度，自1515年到1989年共发生过多次5.5级以下地震，其中，震级4≤M≤5.5的十次，3≤M≤4的十八次，且多发生在该区区域性大断裂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澜沧江断裂带上，是地震多发、震级较弱的地段，地震基本烈度为</w:t>
      </w:r>
      <w:r>
        <w:rPr>
          <w:rFonts w:hint="eastAsia"/>
          <w:color w:val="000000" w:themeColor="text1"/>
          <w14:textFill>
            <w14:solidFill>
              <w14:schemeClr w14:val="tx1"/>
            </w14:solidFill>
          </w14:textFill>
        </w:rPr>
        <w:t>Ⅷ</w:t>
      </w:r>
      <w:r>
        <w:rPr>
          <w:color w:val="000000" w:themeColor="text1"/>
          <w14:textFill>
            <w14:solidFill>
              <w14:schemeClr w14:val="tx1"/>
            </w14:solidFill>
          </w14:textFill>
        </w:rPr>
        <w:t>度。1973年至今为一地震活动期的开始，近期地震有1987年的澜沧、耿马发生的7.9级地震，虽震源深度较深，但在区内破坏造成的损失极为严重，死亡上千人，景洪及周边多地有震感。</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根据《建筑抗震设计规范》(GB50011~2010年版)附录第A.0.22条的划分，尾矿库所在地一景洪市抗震设防烈度为8度区第三组，设计基本地震加速度值为0.20g,特征周期值为0.45s。</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w:t>
      </w:r>
      <w:r>
        <w:rPr>
          <w:rFonts w:hint="eastAsia"/>
          <w:color w:val="000000" w:themeColor="text1"/>
          <w14:textFill>
            <w14:solidFill>
              <w14:schemeClr w14:val="tx1"/>
            </w14:solidFill>
          </w14:textFill>
        </w:rPr>
        <w:t>库场地</w:t>
      </w:r>
      <w:r>
        <w:rPr>
          <w:color w:val="000000" w:themeColor="text1"/>
          <w14:textFill>
            <w14:solidFill>
              <w14:schemeClr w14:val="tx1"/>
            </w14:solidFill>
          </w14:textFill>
        </w:rPr>
        <w:t>位</w:t>
      </w:r>
      <w:r>
        <w:rPr>
          <w:rFonts w:hint="eastAsia"/>
          <w:color w:val="000000" w:themeColor="text1"/>
          <w14:textFill>
            <w14:solidFill>
              <w14:schemeClr w14:val="tx1"/>
            </w14:solidFill>
          </w14:textFill>
        </w:rPr>
        <w:t>于浅切割</w:t>
      </w:r>
      <w:r>
        <w:rPr>
          <w:color w:val="000000" w:themeColor="text1"/>
          <w14:textFill>
            <w14:solidFill>
              <w14:schemeClr w14:val="tx1"/>
            </w14:solidFill>
          </w14:textFill>
        </w:rPr>
        <w:t>构造</w:t>
      </w:r>
      <w:r>
        <w:rPr>
          <w:rFonts w:hint="eastAsia"/>
          <w:color w:val="000000" w:themeColor="text1"/>
          <w14:textFill>
            <w14:solidFill>
              <w14:schemeClr w14:val="tx1"/>
            </w14:solidFill>
          </w14:textFill>
        </w:rPr>
        <w:t>侵蚀</w:t>
      </w:r>
      <w:r>
        <w:rPr>
          <w:color w:val="000000" w:themeColor="text1"/>
          <w14:textFill>
            <w14:solidFill>
              <w14:schemeClr w14:val="tx1"/>
            </w14:solidFill>
          </w14:textFill>
        </w:rPr>
        <w:t>低山</w:t>
      </w:r>
      <w:r>
        <w:rPr>
          <w:rFonts w:hint="eastAsia"/>
          <w:color w:val="000000" w:themeColor="text1"/>
          <w14:textFill>
            <w14:solidFill>
              <w14:schemeClr w14:val="tx1"/>
            </w14:solidFill>
          </w14:textFill>
        </w:rPr>
        <w:t>宽</w:t>
      </w:r>
      <w:r>
        <w:rPr>
          <w:color w:val="000000" w:themeColor="text1"/>
          <w14:textFill>
            <w14:solidFill>
              <w14:schemeClr w14:val="tx1"/>
            </w14:solidFill>
          </w14:textFill>
        </w:rPr>
        <w:t>缓地貌区，场地内各土层在</w:t>
      </w:r>
      <w:r>
        <w:rPr>
          <w:rFonts w:hint="eastAsia"/>
          <w:color w:val="000000" w:themeColor="text1"/>
          <w14:textFill>
            <w14:solidFill>
              <w14:schemeClr w14:val="tx1"/>
            </w14:solidFill>
          </w14:textFill>
        </w:rPr>
        <w:t>平民分布上岩性、埋深、厚度等存在不均匀性，库内有可液化的尾矿砂土，根据《建筑抗震设计规范》（GB50011-2010）第4.1.1条文规定，划分场地为对建筑抗震不利地段。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）风景名胜区、自然保护区、历史文化遗产</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项目区范围内无风景名胜、自然保护区、历史文化遗产。</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距项目最近的自然保护区是西双版纳布龙州级自然保护区，位于项目区西面距离5.4km。</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2008年12月22日，经西双版纳傣族自治州人民政府(西政复[2008]72号文)对《西双版纳州林业局关于建立大勐龙布朗山州级自然保护区的请示》的批复，正式批准了建立西双版纳布龙州级自然保护区。2009年10月30日西双版纳布龙州级自然保护区在布朗山乡正式挂牌成立。布龙州级自然保护区规划面积为53万</w:t>
      </w:r>
      <w:r>
        <w:rPr>
          <w:rFonts w:hint="eastAsia"/>
          <w:color w:val="000000" w:themeColor="text1"/>
          <w14:textFill>
            <w14:solidFill>
              <w14:schemeClr w14:val="tx1"/>
            </w14:solidFill>
          </w14:textFill>
        </w:rPr>
        <w:t>亩，其中：景洪市勐龙镇涉及</w:t>
      </w:r>
      <w:r>
        <w:rPr>
          <w:color w:val="000000" w:themeColor="text1"/>
          <w14:textFill>
            <w14:solidFill>
              <w14:schemeClr w14:val="tx1"/>
            </w14:solidFill>
          </w14:textFill>
        </w:rPr>
        <w:t>面积18万亩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勐海县布朗山乡涉及面积35万亩</w:t>
      </w:r>
      <w:r>
        <w:rPr>
          <w:rFonts w:hint="eastAsia"/>
          <w:color w:val="000000" w:themeColor="text1"/>
          <w14:textFill>
            <w14:solidFill>
              <w14:schemeClr w14:val="tx1"/>
            </w14:solidFill>
          </w14:textFill>
        </w:rPr>
        <w:t>，保护区</w:t>
      </w:r>
      <w:r>
        <w:rPr>
          <w:color w:val="000000" w:themeColor="text1"/>
          <w14:textFill>
            <w14:solidFill>
              <w14:schemeClr w14:val="tx1"/>
            </w14:solidFill>
          </w14:textFill>
        </w:rPr>
        <w:t>内共涉及8个村委会的13</w:t>
      </w:r>
      <w:r>
        <w:rPr>
          <w:rFonts w:hint="eastAsia"/>
          <w:color w:val="000000" w:themeColor="text1"/>
          <w14:textFill>
            <w14:solidFill>
              <w14:schemeClr w14:val="tx1"/>
            </w14:solidFill>
          </w14:textFill>
        </w:rPr>
        <w:t>村小组</w:t>
      </w:r>
      <w:r>
        <w:rPr>
          <w:color w:val="000000" w:themeColor="text1"/>
          <w14:textFill>
            <w14:solidFill>
              <w14:schemeClr w14:val="tx1"/>
            </w14:solidFill>
          </w14:textFill>
        </w:rPr>
        <w:t>，勐龙镇涉及8个村小组，布朗山乡5个村小组。保护区及周边区族聚居区，主要民族为布朗族、哈尼族和拉祜族。</w:t>
      </w:r>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西双版纳布龙州级自然保护区位于西双版纳州西南部，保护区的南面与缅甸相邻。其保护对象为以典型热带季节雨林、热带山地雨林和季风常绿</w:t>
      </w:r>
      <w:r>
        <w:rPr>
          <w:rFonts w:hint="eastAsia"/>
          <w:color w:val="000000" w:themeColor="text1"/>
          <w14:textFill>
            <w14:solidFill>
              <w14:schemeClr w14:val="tx1"/>
            </w14:solidFill>
          </w14:textFill>
        </w:rPr>
        <w:t>阔叶林生态系统以及自然植被景观，</w:t>
      </w:r>
      <w:r>
        <w:rPr>
          <w:color w:val="000000" w:themeColor="text1"/>
          <w14:textFill>
            <w14:solidFill>
              <w14:schemeClr w14:val="tx1"/>
            </w14:solidFill>
          </w14:textFill>
        </w:rPr>
        <w:t>植被景观，以及国家重点保护和特有野生动植及其本息地(生境)。保护区内发现国家珍</w:t>
      </w:r>
      <w:r>
        <w:rPr>
          <w:rFonts w:hint="eastAsia"/>
          <w:color w:val="000000" w:themeColor="text1"/>
          <w14:textFill>
            <w14:solidFill>
              <w14:schemeClr w14:val="tx1"/>
            </w14:solidFill>
          </w14:textFill>
        </w:rPr>
        <w:t>惜</w:t>
      </w:r>
      <w:r>
        <w:rPr>
          <w:color w:val="000000" w:themeColor="text1"/>
          <w14:textFill>
            <w14:solidFill>
              <w14:schemeClr w14:val="tx1"/>
            </w14:solidFill>
          </w14:textFill>
        </w:rPr>
        <w:t>保护哺乳动物21种，其中:国家1级重点保护野生</w:t>
      </w:r>
      <w:r>
        <w:rPr>
          <w:rFonts w:hint="eastAsia"/>
          <w:color w:val="000000" w:themeColor="text1"/>
          <w14:textFill>
            <w14:solidFill>
              <w14:schemeClr w14:val="tx1"/>
            </w14:solidFill>
          </w14:textFill>
        </w:rPr>
        <w:t>哺</w:t>
      </w:r>
      <w:r>
        <w:rPr>
          <w:color w:val="000000" w:themeColor="text1"/>
          <w14:textFill>
            <w14:solidFill>
              <w14:schemeClr w14:val="tx1"/>
            </w14:solidFill>
          </w14:textFill>
        </w:rPr>
        <w:t>乳动物有蜂猴</w:t>
      </w:r>
      <w:r>
        <w:rPr>
          <w:rFonts w:hint="eastAsia"/>
          <w:color w:val="000000" w:themeColor="text1"/>
          <w14:textFill>
            <w14:solidFill>
              <w14:schemeClr w14:val="tx1"/>
            </w14:solidFill>
          </w14:textFill>
        </w:rPr>
        <w:t>、熊</w:t>
      </w:r>
      <w:r>
        <w:rPr>
          <w:color w:val="000000" w:themeColor="text1"/>
          <w14:textFill>
            <w14:solidFill>
              <w14:schemeClr w14:val="tx1"/>
            </w14:solidFill>
          </w14:textFill>
        </w:rPr>
        <w:t>猴，</w:t>
      </w:r>
      <w:r>
        <w:rPr>
          <w:rFonts w:hint="eastAsia"/>
          <w:color w:val="000000" w:themeColor="text1"/>
          <w14:textFill>
            <w14:solidFill>
              <w14:schemeClr w14:val="tx1"/>
            </w14:solidFill>
          </w14:textFill>
        </w:rPr>
        <w:t>灰叶猴、</w:t>
      </w:r>
      <w:r>
        <w:rPr>
          <w:color w:val="000000" w:themeColor="text1"/>
          <w14:textFill>
            <w14:solidFill>
              <w14:schemeClr w14:val="tx1"/>
            </w14:solidFill>
          </w14:textFill>
        </w:rPr>
        <w:t>云豹4种，其中灰叶猴国内仅云南省有分布:国家</w:t>
      </w:r>
      <w:r>
        <w:rPr>
          <w:rFonts w:hint="eastAsia"/>
          <w:color w:val="000000" w:themeColor="text1"/>
          <w14:textFill>
            <w14:solidFill>
              <w14:schemeClr w14:val="tx1"/>
            </w14:solidFill>
          </w14:textFill>
        </w:rPr>
        <w:t>Ⅱ</w:t>
      </w:r>
      <w:r>
        <w:rPr>
          <w:color w:val="000000" w:themeColor="text1"/>
          <w14:textFill>
            <w14:solidFill>
              <w14:schemeClr w14:val="tx1"/>
            </w14:solidFill>
          </w14:textFill>
        </w:rPr>
        <w:t>级重点保护野生</w:t>
      </w:r>
      <w:r>
        <w:rPr>
          <w:rFonts w:hint="eastAsia"/>
          <w:color w:val="000000" w:themeColor="text1"/>
          <w14:textFill>
            <w14:solidFill>
              <w14:schemeClr w14:val="tx1"/>
            </w14:solidFill>
          </w14:textFill>
        </w:rPr>
        <w:t>哺</w:t>
      </w:r>
      <w:r>
        <w:rPr>
          <w:color w:val="000000" w:themeColor="text1"/>
          <w14:textFill>
            <w14:solidFill>
              <w14:schemeClr w14:val="tx1"/>
            </w14:solidFill>
          </w14:textFill>
        </w:rPr>
        <w:t>乳动物有猕猴、</w:t>
      </w:r>
      <w:r>
        <w:rPr>
          <w:rFonts w:hint="eastAsia"/>
          <w:color w:val="000000" w:themeColor="text1"/>
          <w14:textFill>
            <w14:solidFill>
              <w14:schemeClr w14:val="tx1"/>
            </w14:solidFill>
          </w14:textFill>
        </w:rPr>
        <w:t>穿山</w:t>
      </w:r>
      <w:r>
        <w:rPr>
          <w:color w:val="000000" w:themeColor="text1"/>
          <w14:textFill>
            <w14:solidFill>
              <w14:schemeClr w14:val="tx1"/>
            </w14:solidFill>
          </w14:textFill>
        </w:rPr>
        <w:t>甲，</w:t>
      </w:r>
      <w:r>
        <w:rPr>
          <w:rFonts w:hint="eastAsia"/>
          <w:color w:val="000000" w:themeColor="text1"/>
          <w14:textFill>
            <w14:solidFill>
              <w14:schemeClr w14:val="tx1"/>
            </w14:solidFill>
          </w14:textFill>
        </w:rPr>
        <w:t>黑熊、</w:t>
      </w:r>
      <w:r>
        <w:rPr>
          <w:color w:val="000000" w:themeColor="text1"/>
          <w14:textFill>
            <w14:solidFill>
              <w14:schemeClr w14:val="tx1"/>
            </w14:solidFill>
          </w14:textFill>
        </w:rPr>
        <w:t>大灵猫，小灵猫，金猫、水</w:t>
      </w:r>
      <w:r>
        <w:rPr>
          <w:rFonts w:hint="eastAsia"/>
          <w:color w:val="000000" w:themeColor="text1"/>
          <w14:textFill>
            <w14:solidFill>
              <w14:schemeClr w14:val="tx1"/>
            </w14:solidFill>
          </w14:textFill>
        </w:rPr>
        <w:t>鹿</w:t>
      </w:r>
      <w:r>
        <w:rPr>
          <w:color w:val="000000" w:themeColor="text1"/>
          <w14:textFill>
            <w14:solidFill>
              <w14:schemeClr w14:val="tx1"/>
            </w14:solidFill>
          </w14:textFill>
        </w:rPr>
        <w:t>、巨松鼠等</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5种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濒危野生动植物种国际贸易公约(C</w:t>
      </w:r>
      <w:r>
        <w:rPr>
          <w:rFonts w:hint="eastAsia"/>
          <w:color w:val="000000" w:themeColor="text1"/>
          <w14:textFill>
            <w14:solidFill>
              <w14:schemeClr w14:val="tx1"/>
            </w14:solidFill>
          </w14:textFill>
        </w:rPr>
        <w:t>I</w:t>
      </w:r>
      <w:r>
        <w:rPr>
          <w:color w:val="000000" w:themeColor="text1"/>
          <w14:textFill>
            <w14:solidFill>
              <w14:schemeClr w14:val="tx1"/>
            </w14:solidFill>
          </w14:textFill>
        </w:rPr>
        <w:t>TES)限量贸易种的</w:t>
      </w:r>
      <w:r>
        <w:rPr>
          <w:rFonts w:hint="eastAsia"/>
          <w:color w:val="000000" w:themeColor="text1"/>
          <w14:textFill>
            <w14:solidFill>
              <w14:schemeClr w14:val="tx1"/>
            </w14:solidFill>
          </w14:textFill>
        </w:rPr>
        <w:t>豹猫、</w:t>
      </w:r>
      <w:r>
        <w:rPr>
          <w:color w:val="000000" w:themeColor="text1"/>
          <w14:textFill>
            <w14:solidFill>
              <w14:schemeClr w14:val="tx1"/>
            </w14:solidFill>
          </w14:textFill>
        </w:rPr>
        <w:t>北树</w:t>
      </w:r>
      <w:r>
        <w:rPr>
          <w:rFonts w:hint="eastAsia"/>
          <w:color w:val="000000" w:themeColor="text1"/>
          <w14:textFill>
            <w14:solidFill>
              <w14:schemeClr w14:val="tx1"/>
            </w14:solidFill>
          </w14:textFill>
        </w:rPr>
        <w:t>鼠</w:t>
      </w:r>
      <w:r>
        <w:rPr>
          <w:color w:val="000000" w:themeColor="text1"/>
          <w14:textFill>
            <w14:solidFill>
              <w14:schemeClr w14:val="tx1"/>
            </w14:solidFill>
          </w14:textFill>
        </w:rPr>
        <w:t>等2种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区域内植被类型特珠，生物多样性富集，具有较高的保护和科研价值。</w:t>
      </w:r>
    </w:p>
    <w:p>
      <w:pPr>
        <w:pStyle w:val="18"/>
        <w:rPr>
          <w:color w:val="000000" w:themeColor="text1"/>
          <w14:textFill>
            <w14:solidFill>
              <w14:schemeClr w14:val="tx1"/>
            </w14:solidFill>
          </w14:textFill>
        </w:rPr>
      </w:pPr>
      <w:bookmarkStart w:id="41" w:name="_Toc43143174"/>
      <w:bookmarkStart w:id="42" w:name="_Toc10838"/>
      <w:r>
        <w:rPr>
          <w:color w:val="000000" w:themeColor="text1"/>
          <w14:textFill>
            <w14:solidFill>
              <w14:schemeClr w14:val="tx1"/>
            </w14:solidFill>
          </w14:textFill>
        </w:rPr>
        <w:t>2.4尾矿库环境风险受体</w:t>
      </w:r>
      <w:bookmarkEnd w:id="41"/>
      <w:bookmarkEnd w:id="42"/>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云南安宁泰源工贸集团有限公司景洪分公司尾矿库</w:t>
      </w:r>
      <w:r>
        <w:rPr>
          <w:color w:val="000000" w:themeColor="text1"/>
          <w14:textFill>
            <w14:solidFill>
              <w14:schemeClr w14:val="tx1"/>
            </w14:solidFill>
          </w14:textFill>
        </w:rPr>
        <w:t>环境风险评估报告》，尾矿库环境风险受体如下：</w:t>
      </w:r>
    </w:p>
    <w:p>
      <w:pPr>
        <w:pStyle w:val="39"/>
        <w:snapToGrid w:val="0"/>
        <w:spacing w:before="190" w:after="190" w:afterLines="50"/>
        <w:textAlignment w:val="auto"/>
        <w:rPr>
          <w:rFonts w:hint="eastAsia" w:ascii="仿宋" w:hAnsi="仿宋" w:eastAsia="仿宋" w:cs="仿宋"/>
          <w:bCs/>
          <w:color w:val="000000" w:themeColor="text1"/>
          <w:kern w:val="2"/>
          <w:sz w:val="24"/>
          <w:szCs w:val="22"/>
          <w14:textFill>
            <w14:solidFill>
              <w14:schemeClr w14:val="tx1"/>
            </w14:solidFill>
          </w14:textFill>
        </w:rPr>
      </w:pPr>
      <w:r>
        <w:rPr>
          <w:rFonts w:hint="eastAsia" w:ascii="仿宋" w:hAnsi="仿宋" w:eastAsia="仿宋" w:cs="仿宋"/>
          <w:bCs/>
          <w:color w:val="000000" w:themeColor="text1"/>
          <w:kern w:val="2"/>
          <w:sz w:val="24"/>
          <w:szCs w:val="22"/>
          <w14:textFill>
            <w14:solidFill>
              <w14:schemeClr w14:val="tx1"/>
            </w14:solidFill>
          </w14:textFill>
        </w:rPr>
        <w:t>表2.4-1 环境保护目标一览表</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2520"/>
        <w:gridCol w:w="2564"/>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序号</w:t>
            </w:r>
          </w:p>
        </w:tc>
        <w:tc>
          <w:tcPr>
            <w:tcW w:w="2520"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保护目标</w:t>
            </w:r>
          </w:p>
        </w:tc>
        <w:tc>
          <w:tcPr>
            <w:tcW w:w="256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方位及与项目距离</w:t>
            </w:r>
          </w:p>
        </w:tc>
        <w:tc>
          <w:tcPr>
            <w:tcW w:w="254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1</w:t>
            </w:r>
          </w:p>
        </w:tc>
        <w:tc>
          <w:tcPr>
            <w:tcW w:w="2520"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动物、自然植被、经济作物</w:t>
            </w:r>
          </w:p>
        </w:tc>
        <w:tc>
          <w:tcPr>
            <w:tcW w:w="256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项目占地，下游的农田</w:t>
            </w:r>
          </w:p>
        </w:tc>
        <w:tc>
          <w:tcPr>
            <w:tcW w:w="2544" w:type="dxa"/>
            <w:vAlign w:val="center"/>
          </w:tcPr>
          <w:p>
            <w:pPr>
              <w:ind w:firstLine="42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2</w:t>
            </w:r>
          </w:p>
        </w:tc>
        <w:tc>
          <w:tcPr>
            <w:tcW w:w="2520"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南坎河</w:t>
            </w:r>
          </w:p>
        </w:tc>
        <w:tc>
          <w:tcPr>
            <w:tcW w:w="256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浓密车间东北面，距离约500米</w:t>
            </w:r>
          </w:p>
        </w:tc>
        <w:tc>
          <w:tcPr>
            <w:tcW w:w="2544" w:type="dxa"/>
            <w:vMerge w:val="restart"/>
            <w:vAlign w:val="center"/>
          </w:tcPr>
          <w:p>
            <w:pPr>
              <w:ind w:firstLine="42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GB3838-2002《地表水环境质量标准》Ⅲ类标准，GB3095-1996《环境空气质量标准》二级标准，GB3096-2008《声环境质量标准》2类标准。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3</w:t>
            </w:r>
          </w:p>
        </w:tc>
        <w:tc>
          <w:tcPr>
            <w:tcW w:w="2520"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曼南坎村小组</w:t>
            </w:r>
          </w:p>
        </w:tc>
        <w:tc>
          <w:tcPr>
            <w:tcW w:w="256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浓密车间东北面，距离约500米。有154户，782人</w:t>
            </w:r>
          </w:p>
        </w:tc>
        <w:tc>
          <w:tcPr>
            <w:tcW w:w="2544" w:type="dxa"/>
            <w:vMerge w:val="continue"/>
            <w:vAlign w:val="center"/>
          </w:tcPr>
          <w:p>
            <w:pPr>
              <w:ind w:firstLine="420"/>
              <w:jc w:val="center"/>
              <w:rPr>
                <w:rFonts w:ascii="仿宋" w:hAnsi="仿宋" w:cs="仿宋"/>
                <w:bCs/>
                <w:color w:val="000000" w:themeColor="text1"/>
                <w:kern w:val="2"/>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4</w:t>
            </w:r>
          </w:p>
        </w:tc>
        <w:tc>
          <w:tcPr>
            <w:tcW w:w="2520"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选厂办公、生活区</w:t>
            </w:r>
          </w:p>
        </w:tc>
        <w:tc>
          <w:tcPr>
            <w:tcW w:w="2564" w:type="dxa"/>
            <w:vAlign w:val="center"/>
          </w:tcPr>
          <w:p>
            <w:pPr>
              <w:ind w:firstLine="0" w:firstLineChars="0"/>
              <w:jc w:val="center"/>
              <w:rPr>
                <w:rFonts w:ascii="仿宋" w:hAnsi="仿宋" w:cs="仿宋"/>
                <w:bCs/>
                <w:color w:val="000000" w:themeColor="text1"/>
                <w:kern w:val="2"/>
                <w:sz w:val="22"/>
                <w:szCs w:val="22"/>
                <w14:textFill>
                  <w14:solidFill>
                    <w14:schemeClr w14:val="tx1"/>
                  </w14:solidFill>
                </w14:textFill>
              </w:rPr>
            </w:pPr>
            <w:r>
              <w:rPr>
                <w:rFonts w:hint="eastAsia" w:ascii="仿宋" w:hAnsi="仿宋" w:cs="仿宋"/>
                <w:bCs/>
                <w:color w:val="000000" w:themeColor="text1"/>
                <w:kern w:val="2"/>
                <w:sz w:val="22"/>
                <w:szCs w:val="22"/>
                <w14:textFill>
                  <w14:solidFill>
                    <w14:schemeClr w14:val="tx1"/>
                  </w14:solidFill>
                </w14:textFill>
              </w:rPr>
              <w:t>浓密车间西北面，距离约350米</w:t>
            </w:r>
          </w:p>
        </w:tc>
        <w:tc>
          <w:tcPr>
            <w:tcW w:w="2544" w:type="dxa"/>
            <w:vMerge w:val="continue"/>
            <w:vAlign w:val="center"/>
          </w:tcPr>
          <w:p>
            <w:pPr>
              <w:ind w:firstLine="420"/>
              <w:jc w:val="center"/>
              <w:rPr>
                <w:rFonts w:ascii="仿宋" w:hAnsi="仿宋" w:cs="仿宋"/>
                <w:bCs/>
                <w:color w:val="000000" w:themeColor="text1"/>
                <w:kern w:val="2"/>
                <w:sz w:val="22"/>
                <w:szCs w:val="22"/>
                <w14:textFill>
                  <w14:solidFill>
                    <w14:schemeClr w14:val="tx1"/>
                  </w14:solidFill>
                </w14:textFill>
              </w:rPr>
            </w:pPr>
          </w:p>
        </w:tc>
      </w:tr>
    </w:tbl>
    <w:p>
      <w:pPr>
        <w:ind w:firstLine="0" w:firstLineChars="0"/>
        <w:jc w:val="center"/>
        <w:rPr>
          <w:b/>
          <w:bCs/>
          <w:color w:val="000000" w:themeColor="text1"/>
          <w:sz w:val="24"/>
          <w:szCs w:val="18"/>
          <w14:textFill>
            <w14:solidFill>
              <w14:schemeClr w14:val="tx1"/>
            </w14:solidFill>
          </w14:textFill>
        </w:rPr>
      </w:pPr>
      <w:r>
        <w:rPr>
          <w:rFonts w:hint="eastAsia"/>
          <w:b/>
          <w:bCs/>
          <w:color w:val="000000" w:themeColor="text1"/>
          <w:sz w:val="24"/>
          <w:szCs w:val="18"/>
          <w14:textFill>
            <w14:solidFill>
              <w14:schemeClr w14:val="tx1"/>
            </w14:solidFill>
          </w14:textFill>
        </w:rPr>
        <w:t>表2.4-2 环境风险受体一览表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2240"/>
        <w:gridCol w:w="3330"/>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序号</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环境保护目标</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方位及项目距离</w:t>
            </w:r>
          </w:p>
        </w:tc>
        <w:tc>
          <w:tcPr>
            <w:tcW w:w="2096" w:type="dxa"/>
            <w:vAlign w:val="center"/>
          </w:tcPr>
          <w:p>
            <w:pPr>
              <w:spacing w:after="120" w:line="240" w:lineRule="auto"/>
              <w:ind w:left="420"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影响情况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1</w:t>
            </w:r>
          </w:p>
        </w:tc>
        <w:tc>
          <w:tcPr>
            <w:tcW w:w="224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动物、自然植被、</w:t>
            </w:r>
          </w:p>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经济作物</w:t>
            </w:r>
          </w:p>
        </w:tc>
        <w:tc>
          <w:tcPr>
            <w:tcW w:w="333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项目占地，下游的农田</w:t>
            </w:r>
          </w:p>
        </w:tc>
        <w:tc>
          <w:tcPr>
            <w:tcW w:w="2096" w:type="dxa"/>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可能会造成农田被淹没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2</w:t>
            </w:r>
          </w:p>
        </w:tc>
        <w:tc>
          <w:tcPr>
            <w:tcW w:w="224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南坎河</w:t>
            </w:r>
          </w:p>
        </w:tc>
        <w:tc>
          <w:tcPr>
            <w:tcW w:w="333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浓密车间东北面，距离约500米</w:t>
            </w:r>
          </w:p>
        </w:tc>
        <w:tc>
          <w:tcPr>
            <w:tcW w:w="2096" w:type="dxa"/>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河流被淹没，影响河流水质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3</w:t>
            </w:r>
          </w:p>
        </w:tc>
        <w:tc>
          <w:tcPr>
            <w:tcW w:w="224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曼南坎村小组</w:t>
            </w:r>
          </w:p>
        </w:tc>
        <w:tc>
          <w:tcPr>
            <w:tcW w:w="333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浓密车间东北面，距离约500米，有154户，782人</w:t>
            </w:r>
          </w:p>
        </w:tc>
        <w:tc>
          <w:tcPr>
            <w:tcW w:w="2096" w:type="dxa"/>
            <w:vMerge w:val="restart"/>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可能造成房屋的冲毁，人员被埋等影响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4</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曼庄尖</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西北方向，直线距离2.16km</w:t>
            </w:r>
          </w:p>
        </w:tc>
        <w:tc>
          <w:tcPr>
            <w:tcW w:w="2096" w:type="dxa"/>
            <w:vMerge w:val="continue"/>
            <w:vAlign w:val="center"/>
          </w:tcPr>
          <w:p>
            <w:pPr>
              <w:spacing w:after="120" w:line="240" w:lineRule="auto"/>
              <w:ind w:left="420" w:firstLine="0" w:firstLineChars="0"/>
              <w:jc w:val="center"/>
              <w:rPr>
                <w:rFonts w:ascii="仿宋" w:hAnsi="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5</w:t>
            </w:r>
          </w:p>
        </w:tc>
        <w:tc>
          <w:tcPr>
            <w:tcW w:w="224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选厂办公、生活区</w:t>
            </w:r>
          </w:p>
        </w:tc>
        <w:tc>
          <w:tcPr>
            <w:tcW w:w="333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西北面，距离约350米</w:t>
            </w:r>
          </w:p>
        </w:tc>
        <w:tc>
          <w:tcPr>
            <w:tcW w:w="2096" w:type="dxa"/>
            <w:vMerge w:val="continue"/>
            <w:vAlign w:val="center"/>
          </w:tcPr>
          <w:p>
            <w:pPr>
              <w:spacing w:after="120" w:line="240" w:lineRule="auto"/>
              <w:ind w:left="420" w:firstLine="0" w:firstLineChars="0"/>
              <w:jc w:val="center"/>
              <w:rPr>
                <w:rFonts w:ascii="仿宋" w:hAnsi="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6</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勐龙镇</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东面，2.39km</w:t>
            </w:r>
          </w:p>
        </w:tc>
        <w:tc>
          <w:tcPr>
            <w:tcW w:w="2096" w:type="dxa"/>
            <w:vMerge w:val="restart"/>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可能产生房屋淹没，冲毁、田地农作物淹没毁坏，人员被埋等伤害，中间被山脉阻隔，影响相对较小，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7</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曼康</w:t>
            </w:r>
          </w:p>
        </w:tc>
        <w:tc>
          <w:tcPr>
            <w:tcW w:w="3330" w:type="dxa"/>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东南面，直线距离2.47km</w:t>
            </w:r>
          </w:p>
        </w:tc>
        <w:tc>
          <w:tcPr>
            <w:tcW w:w="2096" w:type="dxa"/>
            <w:vMerge w:val="continue"/>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8</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曼允</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东南面，直线距离2.18</w:t>
            </w:r>
          </w:p>
        </w:tc>
        <w:tc>
          <w:tcPr>
            <w:tcW w:w="2096" w:type="dxa"/>
            <w:vMerge w:val="continue"/>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9</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曼短</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东南面，直线距离2.06</w:t>
            </w:r>
          </w:p>
        </w:tc>
        <w:tc>
          <w:tcPr>
            <w:tcW w:w="2096" w:type="dxa"/>
            <w:vMerge w:val="continue"/>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10</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曼广掌</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东南面，直线距离2.14km</w:t>
            </w:r>
          </w:p>
        </w:tc>
        <w:tc>
          <w:tcPr>
            <w:tcW w:w="2096" w:type="dxa"/>
            <w:vMerge w:val="continue"/>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56"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11</w:t>
            </w:r>
          </w:p>
        </w:tc>
        <w:tc>
          <w:tcPr>
            <w:tcW w:w="224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曼沙湾</w:t>
            </w:r>
          </w:p>
        </w:tc>
        <w:tc>
          <w:tcPr>
            <w:tcW w:w="3330" w:type="dxa"/>
            <w:vAlign w:val="center"/>
          </w:tcPr>
          <w:p>
            <w:pPr>
              <w:spacing w:after="120"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东南面，直线距离2.14km</w:t>
            </w:r>
          </w:p>
        </w:tc>
        <w:tc>
          <w:tcPr>
            <w:tcW w:w="2096" w:type="dxa"/>
            <w:vMerge w:val="continue"/>
            <w:vAlign w:val="center"/>
          </w:tcPr>
          <w:p>
            <w:pPr>
              <w:spacing w:after="120" w:line="240" w:lineRule="auto"/>
              <w:ind w:firstLine="0" w:firstLineChars="0"/>
              <w:rPr>
                <w:rFonts w:ascii="仿宋" w:hAnsi="仿宋" w:cs="仿宋"/>
                <w:color w:val="000000" w:themeColor="text1"/>
                <w:sz w:val="22"/>
                <w:szCs w:val="22"/>
                <w14:textFill>
                  <w14:solidFill>
                    <w14:schemeClr w14:val="tx1"/>
                  </w14:solidFill>
                </w14:textFill>
              </w:rPr>
            </w:pPr>
          </w:p>
        </w:tc>
      </w:tr>
    </w:tbl>
    <w:p>
      <w:pPr>
        <w:pStyle w:val="18"/>
        <w:rPr>
          <w:color w:val="000000" w:themeColor="text1"/>
          <w14:textFill>
            <w14:solidFill>
              <w14:schemeClr w14:val="tx1"/>
            </w14:solidFill>
          </w14:textFill>
        </w:rPr>
      </w:pPr>
      <w:bookmarkStart w:id="43" w:name="_Toc10254"/>
      <w:bookmarkStart w:id="44" w:name="_Toc43143175"/>
      <w:r>
        <w:rPr>
          <w:color w:val="000000" w:themeColor="text1"/>
          <w14:textFill>
            <w14:solidFill>
              <w14:schemeClr w14:val="tx1"/>
            </w14:solidFill>
          </w14:textFill>
        </w:rPr>
        <w:t>2.5尾矿库特征污染物排放情况</w:t>
      </w:r>
      <w:bookmarkEnd w:id="43"/>
      <w:bookmarkEnd w:id="44"/>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尾矿库的污染物主要是尾矿浆中的尾砂和废水。选矿尾矿浆及尾矿</w:t>
      </w:r>
      <w:r>
        <w:rPr>
          <w:rFonts w:hint="eastAsia"/>
          <w:color w:val="000000" w:themeColor="text1"/>
          <w14:textFill>
            <w14:solidFill>
              <w14:schemeClr w14:val="tx1"/>
            </w14:solidFill>
          </w14:textFill>
        </w:rPr>
        <w:t>废水</w:t>
      </w:r>
      <w:r>
        <w:rPr>
          <w:color w:val="000000" w:themeColor="text1"/>
          <w14:textFill>
            <w14:solidFill>
              <w14:schemeClr w14:val="tx1"/>
            </w14:solidFill>
          </w14:textFill>
        </w:rPr>
        <w:t>内含有Cd</w:t>
      </w:r>
      <w:r>
        <w:rPr>
          <w:rFonts w:hint="eastAsia"/>
          <w:color w:val="000000" w:themeColor="text1"/>
          <w14:textFill>
            <w14:solidFill>
              <w14:schemeClr w14:val="tx1"/>
            </w14:solidFill>
          </w14:textFill>
        </w:rPr>
        <w:t>、Cu、</w:t>
      </w:r>
      <w:r>
        <w:rPr>
          <w:color w:val="000000" w:themeColor="text1"/>
          <w14:textFill>
            <w14:solidFill>
              <w14:schemeClr w14:val="tx1"/>
            </w14:solidFill>
          </w14:textFill>
        </w:rPr>
        <w:t>As</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w:t>
      </w:r>
      <w:r>
        <w:rPr>
          <w:rFonts w:hint="eastAsia"/>
          <w:color w:val="000000" w:themeColor="text1"/>
          <w14:textFill>
            <w14:solidFill>
              <w14:schemeClr w14:val="tx1"/>
            </w14:solidFill>
          </w14:textFill>
        </w:rPr>
        <w:t>b</w:t>
      </w:r>
      <w:r>
        <w:rPr>
          <w:color w:val="000000" w:themeColor="text1"/>
          <w14:textFill>
            <w14:solidFill>
              <w14:schemeClr w14:val="tx1"/>
            </w14:solidFill>
          </w14:textFill>
        </w:rPr>
        <w:t>等重金属离子</w:t>
      </w:r>
      <w:r>
        <w:rPr>
          <w:rFonts w:hint="eastAsia"/>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根据项目验收监测报告中尾矿渣浸出毒性与腐蚀性鉴别试验的结果，该项目尾矿属于一般工业固废的第I类固废。</w:t>
      </w:r>
      <w:r>
        <w:rPr>
          <w:rFonts w:hint="eastAsia"/>
          <w:color w:val="000000" w:themeColor="text1"/>
          <w14:textFill>
            <w14:solidFill>
              <w14:schemeClr w14:val="tx1"/>
            </w14:solidFill>
          </w14:textFill>
        </w:rPr>
        <w:t>实验尾矿中铁以磁性铁形式存在，原矿中含铁19.76%，含S为0.18%，含P为0.5%，含As为0.011%。通过对尾矿库尾款化学元素分析有价金属元素为铁，TFe17.11%，SiO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49.94%，S1.12%，P0.28%，As0.0036%，详见2.4-2.</w:t>
      </w:r>
    </w:p>
    <w:p>
      <w:pPr>
        <w:pStyle w:val="30"/>
        <w:ind w:left="0" w:leftChars="0" w:firstLine="0" w:firstLineChars="0"/>
        <w:jc w:val="center"/>
        <w:rPr>
          <w:b/>
          <w:bCs/>
          <w:color w:val="000000" w:themeColor="text1"/>
          <w:sz w:val="24"/>
          <w:szCs w:val="18"/>
          <w14:textFill>
            <w14:solidFill>
              <w14:schemeClr w14:val="tx1"/>
            </w14:solidFill>
          </w14:textFill>
        </w:rPr>
      </w:pPr>
      <w:r>
        <w:rPr>
          <w:rFonts w:hint="eastAsia"/>
          <w:b/>
          <w:bCs/>
          <w:color w:val="000000" w:themeColor="text1"/>
          <w:sz w:val="24"/>
          <w:szCs w:val="18"/>
          <w14:textFill>
            <w14:solidFill>
              <w14:schemeClr w14:val="tx1"/>
            </w14:solidFill>
          </w14:textFill>
        </w:rPr>
        <w:t>表2.5-1 尾矿化学元素分析结果</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919"/>
        <w:gridCol w:w="983"/>
        <w:gridCol w:w="805"/>
        <w:gridCol w:w="987"/>
        <w:gridCol w:w="827"/>
        <w:gridCol w:w="808"/>
        <w:gridCol w:w="706"/>
        <w:gridCol w:w="706"/>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0"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元素（或氧化物）</w:t>
            </w:r>
          </w:p>
        </w:tc>
        <w:tc>
          <w:tcPr>
            <w:tcW w:w="919"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TFe</w:t>
            </w:r>
          </w:p>
        </w:tc>
        <w:tc>
          <w:tcPr>
            <w:tcW w:w="983"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Cu</w:t>
            </w:r>
          </w:p>
        </w:tc>
        <w:tc>
          <w:tcPr>
            <w:tcW w:w="805"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SiO</w:t>
            </w:r>
            <w:r>
              <w:rPr>
                <w:rFonts w:hint="eastAsia" w:ascii="仿宋" w:hAnsi="仿宋" w:cs="仿宋"/>
                <w:color w:val="000000" w:themeColor="text1"/>
                <w:sz w:val="22"/>
                <w:szCs w:val="22"/>
                <w:vertAlign w:val="subscript"/>
                <w14:textFill>
                  <w14:solidFill>
                    <w14:schemeClr w14:val="tx1"/>
                  </w14:solidFill>
                </w14:textFill>
              </w:rPr>
              <w:t>2</w:t>
            </w:r>
          </w:p>
        </w:tc>
        <w:tc>
          <w:tcPr>
            <w:tcW w:w="987"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Al2O3</w:t>
            </w:r>
          </w:p>
        </w:tc>
        <w:tc>
          <w:tcPr>
            <w:tcW w:w="827"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CaO</w:t>
            </w:r>
          </w:p>
        </w:tc>
        <w:tc>
          <w:tcPr>
            <w:tcW w:w="808"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MgO</w:t>
            </w:r>
          </w:p>
        </w:tc>
        <w:tc>
          <w:tcPr>
            <w:tcW w:w="70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S</w:t>
            </w:r>
          </w:p>
        </w:tc>
        <w:tc>
          <w:tcPr>
            <w:tcW w:w="70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P</w:t>
            </w:r>
          </w:p>
        </w:tc>
        <w:tc>
          <w:tcPr>
            <w:tcW w:w="98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0" w:type="dxa"/>
            <w:vAlign w:val="center"/>
          </w:tcPr>
          <w:p>
            <w:pPr>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含量（%）</w:t>
            </w:r>
          </w:p>
        </w:tc>
        <w:tc>
          <w:tcPr>
            <w:tcW w:w="919" w:type="dxa"/>
            <w:vAlign w:val="center"/>
          </w:tcPr>
          <w:p>
            <w:pPr>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17.11</w:t>
            </w:r>
          </w:p>
        </w:tc>
        <w:tc>
          <w:tcPr>
            <w:tcW w:w="983" w:type="dxa"/>
            <w:vAlign w:val="center"/>
          </w:tcPr>
          <w:p>
            <w:pPr>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0.053</w:t>
            </w:r>
          </w:p>
        </w:tc>
        <w:tc>
          <w:tcPr>
            <w:tcW w:w="805" w:type="dxa"/>
            <w:vAlign w:val="center"/>
          </w:tcPr>
          <w:p>
            <w:pPr>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49.9</w:t>
            </w:r>
          </w:p>
        </w:tc>
        <w:tc>
          <w:tcPr>
            <w:tcW w:w="987"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6.58</w:t>
            </w:r>
          </w:p>
        </w:tc>
        <w:tc>
          <w:tcPr>
            <w:tcW w:w="827"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2.46</w:t>
            </w:r>
          </w:p>
        </w:tc>
        <w:tc>
          <w:tcPr>
            <w:tcW w:w="808"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1.38</w:t>
            </w:r>
          </w:p>
        </w:tc>
        <w:tc>
          <w:tcPr>
            <w:tcW w:w="70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1.12</w:t>
            </w:r>
          </w:p>
        </w:tc>
        <w:tc>
          <w:tcPr>
            <w:tcW w:w="70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0.28</w:t>
            </w:r>
          </w:p>
        </w:tc>
        <w:tc>
          <w:tcPr>
            <w:tcW w:w="986" w:type="dxa"/>
            <w:vAlign w:val="center"/>
          </w:tcPr>
          <w:p>
            <w:pPr>
              <w:spacing w:line="240" w:lineRule="auto"/>
              <w:ind w:firstLine="0" w:firstLineChars="0"/>
              <w:jc w:val="center"/>
              <w:rPr>
                <w:rFonts w:ascii="仿宋" w:hAnsi="仿宋" w:cs="仿宋"/>
                <w:color w:val="000000" w:themeColor="text1"/>
                <w:sz w:val="22"/>
                <w:szCs w:val="22"/>
                <w14:textFill>
                  <w14:solidFill>
                    <w14:schemeClr w14:val="tx1"/>
                  </w14:solidFill>
                </w14:textFill>
              </w:rPr>
            </w:pPr>
            <w:r>
              <w:rPr>
                <w:rFonts w:hint="eastAsia" w:ascii="仿宋" w:hAnsi="仿宋" w:cs="仿宋"/>
                <w:color w:val="000000" w:themeColor="text1"/>
                <w:sz w:val="22"/>
                <w:szCs w:val="22"/>
                <w14:textFill>
                  <w14:solidFill>
                    <w14:schemeClr w14:val="tx1"/>
                  </w14:solidFill>
                </w14:textFill>
              </w:rPr>
              <w:t>0.0036</w:t>
            </w:r>
          </w:p>
        </w:tc>
      </w:tr>
    </w:tbl>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尾矿浆中的废水主要是选矿过程</w:t>
      </w:r>
      <w:r>
        <w:rPr>
          <w:rFonts w:hint="eastAsia"/>
          <w:color w:val="000000" w:themeColor="text1"/>
          <w14:textFill>
            <w14:solidFill>
              <w14:schemeClr w14:val="tx1"/>
            </w14:solidFill>
          </w14:textFill>
        </w:rPr>
        <w:t>中</w:t>
      </w:r>
      <w:r>
        <w:rPr>
          <w:color w:val="000000" w:themeColor="text1"/>
          <w14:textFill>
            <w14:solidFill>
              <w14:schemeClr w14:val="tx1"/>
            </w14:solidFill>
          </w14:textFill>
        </w:rPr>
        <w:t>随尾砂产生的废水</w:t>
      </w:r>
      <w:r>
        <w:rPr>
          <w:rFonts w:hint="eastAsia"/>
          <w:color w:val="000000" w:themeColor="text1"/>
          <w14:textFill>
            <w14:solidFill>
              <w14:schemeClr w14:val="tx1"/>
            </w14:solidFill>
          </w14:textFill>
        </w:rPr>
        <w:t>，选矿废水主要为悬浮物废水，随尾矿排入尾矿库沉淀处理后由泵抽至高位水池，回用于选厂，不外排。根据项目监测报告，按《污水综合排放标准》（GB8978-1996）表1和表2中的一级标准考核，项目尾矿库坝后收集池、库内积水和回水点废水水质所测7项监测因子均达到相应标准限值。</w:t>
      </w:r>
    </w:p>
    <w:p>
      <w:pPr>
        <w:pStyle w:val="30"/>
        <w:ind w:left="560" w:firstLine="0" w:firstLineChars="0"/>
        <w:jc w:val="center"/>
        <w:rPr>
          <w:b/>
          <w:color w:val="000000" w:themeColor="text1"/>
          <w:sz w:val="24"/>
          <w:szCs w:val="18"/>
          <w14:textFill>
            <w14:solidFill>
              <w14:schemeClr w14:val="tx1"/>
            </w14:solidFill>
          </w14:textFill>
        </w:rPr>
      </w:pPr>
      <w:r>
        <w:rPr>
          <w:rFonts w:hint="eastAsia"/>
          <w:b/>
          <w:color w:val="000000" w:themeColor="text1"/>
          <w:sz w:val="24"/>
          <w:szCs w:val="18"/>
          <w14:textFill>
            <w14:solidFill>
              <w14:schemeClr w14:val="tx1"/>
            </w14:solidFill>
          </w14:textFill>
        </w:rPr>
        <w:t>表2.5-2 项目区的废水监测表</w:t>
      </w:r>
    </w:p>
    <w:tbl>
      <w:tblPr>
        <w:tblStyle w:val="32"/>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55"/>
        <w:gridCol w:w="1198"/>
        <w:gridCol w:w="1191"/>
        <w:gridCol w:w="1156"/>
        <w:gridCol w:w="1175"/>
        <w:gridCol w:w="1288"/>
        <w:gridCol w:w="10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8" w:hRule="atLeast"/>
          <w:jc w:val="center"/>
        </w:trPr>
        <w:tc>
          <w:tcPr>
            <w:tcW w:w="185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监测项目</w:t>
            </w:r>
          </w:p>
        </w:tc>
        <w:tc>
          <w:tcPr>
            <w:tcW w:w="119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水温</w:t>
            </w:r>
          </w:p>
        </w:tc>
        <w:tc>
          <w:tcPr>
            <w:tcW w:w="1191"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pH</w:t>
            </w:r>
          </w:p>
        </w:tc>
        <w:tc>
          <w:tcPr>
            <w:tcW w:w="1156"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悬浮物</w:t>
            </w:r>
          </w:p>
        </w:tc>
        <w:tc>
          <w:tcPr>
            <w:tcW w:w="117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高锰酸盐指数</w:t>
            </w:r>
          </w:p>
        </w:tc>
        <w:tc>
          <w:tcPr>
            <w:tcW w:w="128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化学需氧量</w:t>
            </w:r>
          </w:p>
        </w:tc>
        <w:tc>
          <w:tcPr>
            <w:tcW w:w="1044"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5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监测结果（mg/l）</w:t>
            </w:r>
          </w:p>
        </w:tc>
        <w:tc>
          <w:tcPr>
            <w:tcW w:w="119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25.1</w:t>
            </w:r>
          </w:p>
        </w:tc>
        <w:tc>
          <w:tcPr>
            <w:tcW w:w="1191"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7.68</w:t>
            </w:r>
          </w:p>
        </w:tc>
        <w:tc>
          <w:tcPr>
            <w:tcW w:w="1156"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42</w:t>
            </w:r>
          </w:p>
        </w:tc>
        <w:tc>
          <w:tcPr>
            <w:tcW w:w="117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3.01</w:t>
            </w:r>
          </w:p>
        </w:tc>
        <w:tc>
          <w:tcPr>
            <w:tcW w:w="128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11</w:t>
            </w:r>
          </w:p>
        </w:tc>
        <w:tc>
          <w:tcPr>
            <w:tcW w:w="1044"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0.05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55"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达标情况</w:t>
            </w:r>
          </w:p>
        </w:tc>
        <w:tc>
          <w:tcPr>
            <w:tcW w:w="1198"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91"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56"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75"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288"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044"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55"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监测项目</w:t>
            </w:r>
          </w:p>
        </w:tc>
        <w:tc>
          <w:tcPr>
            <w:tcW w:w="1198"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石油类</w:t>
            </w:r>
          </w:p>
        </w:tc>
        <w:tc>
          <w:tcPr>
            <w:tcW w:w="1191"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总砷</w:t>
            </w:r>
          </w:p>
        </w:tc>
        <w:tc>
          <w:tcPr>
            <w:tcW w:w="1156"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总汞</w:t>
            </w:r>
          </w:p>
        </w:tc>
        <w:tc>
          <w:tcPr>
            <w:tcW w:w="1175"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六价铬</w:t>
            </w:r>
          </w:p>
        </w:tc>
        <w:tc>
          <w:tcPr>
            <w:tcW w:w="1288"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总铅</w:t>
            </w:r>
          </w:p>
        </w:tc>
        <w:tc>
          <w:tcPr>
            <w:tcW w:w="1044"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5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监测结果（mg/l）</w:t>
            </w:r>
          </w:p>
        </w:tc>
        <w:tc>
          <w:tcPr>
            <w:tcW w:w="119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未检出</w:t>
            </w:r>
          </w:p>
        </w:tc>
        <w:tc>
          <w:tcPr>
            <w:tcW w:w="1191"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0.0162</w:t>
            </w:r>
          </w:p>
        </w:tc>
        <w:tc>
          <w:tcPr>
            <w:tcW w:w="1156"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未检出</w:t>
            </w:r>
          </w:p>
        </w:tc>
        <w:tc>
          <w:tcPr>
            <w:tcW w:w="117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未检出</w:t>
            </w:r>
          </w:p>
        </w:tc>
        <w:tc>
          <w:tcPr>
            <w:tcW w:w="128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0.004</w:t>
            </w:r>
          </w:p>
        </w:tc>
        <w:tc>
          <w:tcPr>
            <w:tcW w:w="1044"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未检出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55"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达标情况</w:t>
            </w:r>
          </w:p>
        </w:tc>
        <w:tc>
          <w:tcPr>
            <w:tcW w:w="1198"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91"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56"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75"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288"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044" w:type="dxa"/>
            <w:tcBorders>
              <w:bottom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8" w:hRule="atLeast"/>
          <w:jc w:val="center"/>
        </w:trPr>
        <w:tc>
          <w:tcPr>
            <w:tcW w:w="1855"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监测项目</w:t>
            </w:r>
          </w:p>
        </w:tc>
        <w:tc>
          <w:tcPr>
            <w:tcW w:w="1198"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总铜</w:t>
            </w:r>
          </w:p>
        </w:tc>
        <w:tc>
          <w:tcPr>
            <w:tcW w:w="1191"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总锌</w:t>
            </w:r>
          </w:p>
        </w:tc>
        <w:tc>
          <w:tcPr>
            <w:tcW w:w="1156"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总铁</w:t>
            </w:r>
          </w:p>
        </w:tc>
        <w:tc>
          <w:tcPr>
            <w:tcW w:w="1175"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总锰</w:t>
            </w:r>
          </w:p>
        </w:tc>
        <w:tc>
          <w:tcPr>
            <w:tcW w:w="1288"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总硒</w:t>
            </w:r>
          </w:p>
        </w:tc>
        <w:tc>
          <w:tcPr>
            <w:tcW w:w="1044" w:type="dxa"/>
            <w:tcBorders>
              <w:top w:val="double" w:color="auto" w:sz="4" w:space="0"/>
            </w:tcBorders>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5" w:hRule="atLeast"/>
          <w:jc w:val="center"/>
        </w:trPr>
        <w:tc>
          <w:tcPr>
            <w:tcW w:w="185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监测结果（mg/l）</w:t>
            </w:r>
          </w:p>
        </w:tc>
        <w:tc>
          <w:tcPr>
            <w:tcW w:w="119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0.002</w:t>
            </w:r>
          </w:p>
        </w:tc>
        <w:tc>
          <w:tcPr>
            <w:tcW w:w="1191"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0.012</w:t>
            </w:r>
          </w:p>
        </w:tc>
        <w:tc>
          <w:tcPr>
            <w:tcW w:w="1156"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2.53</w:t>
            </w:r>
          </w:p>
        </w:tc>
        <w:tc>
          <w:tcPr>
            <w:tcW w:w="117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0.305</w:t>
            </w:r>
          </w:p>
        </w:tc>
        <w:tc>
          <w:tcPr>
            <w:tcW w:w="128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未检出</w:t>
            </w:r>
          </w:p>
        </w:tc>
        <w:tc>
          <w:tcPr>
            <w:tcW w:w="1044"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5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达标情况</w:t>
            </w:r>
          </w:p>
        </w:tc>
        <w:tc>
          <w:tcPr>
            <w:tcW w:w="119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91"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56"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175"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288"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达标</w:t>
            </w:r>
          </w:p>
        </w:tc>
        <w:tc>
          <w:tcPr>
            <w:tcW w:w="1044" w:type="dxa"/>
            <w:vAlign w:val="center"/>
          </w:tcPr>
          <w:p>
            <w:pPr>
              <w:ind w:firstLine="0" w:firstLineChars="0"/>
              <w:jc w:val="center"/>
              <w:rPr>
                <w:rFonts w:ascii="仿宋" w:hAnsi="仿宋"/>
                <w:color w:val="000000" w:themeColor="text1"/>
                <w:sz w:val="20"/>
                <w14:textFill>
                  <w14:solidFill>
                    <w14:schemeClr w14:val="tx1"/>
                  </w14:solidFill>
                </w14:textFill>
              </w:rPr>
            </w:pPr>
            <w:r>
              <w:rPr>
                <w:rFonts w:hint="eastAsia" w:ascii="仿宋" w:hAnsi="仿宋"/>
                <w:color w:val="000000" w:themeColor="text1"/>
                <w:sz w:val="20"/>
                <w14:textFill>
                  <w14:solidFill>
                    <w14:schemeClr w14:val="tx1"/>
                  </w14:solidFill>
                </w14:textFill>
              </w:rPr>
              <w:t>/</w:t>
            </w:r>
          </w:p>
        </w:tc>
      </w:tr>
    </w:tbl>
    <w:p>
      <w:pPr>
        <w:ind w:firstLine="562"/>
        <w:jc w:val="center"/>
        <w:rPr>
          <w:b/>
          <w:color w:val="000000" w:themeColor="text1"/>
          <w14:textFill>
            <w14:solidFill>
              <w14:schemeClr w14:val="tx1"/>
            </w14:solidFill>
          </w14:textFill>
        </w:rPr>
      </w:pPr>
      <w:r>
        <w:rPr>
          <w:rFonts w:hint="eastAsia"/>
          <w:b/>
          <w:color w:val="000000" w:themeColor="text1"/>
          <w:sz w:val="22"/>
          <w:szCs w:val="22"/>
          <w14:textFill>
            <w14:solidFill>
              <w14:schemeClr w14:val="tx1"/>
            </w14:solidFill>
          </w14:textFill>
        </w:rPr>
        <w:t>表2.5-3 项目区环境空气现状监测结果</w:t>
      </w:r>
    </w:p>
    <w:tbl>
      <w:tblPr>
        <w:tblStyle w:val="32"/>
        <w:tblW w:w="0" w:type="auto"/>
        <w:tblInd w:w="-47"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17"/>
        <w:gridCol w:w="1526"/>
        <w:gridCol w:w="2220"/>
        <w:gridCol w:w="1640"/>
        <w:gridCol w:w="16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8" w:hRule="atLeast"/>
        </w:trPr>
        <w:tc>
          <w:tcPr>
            <w:tcW w:w="1917"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测点名称</w:t>
            </w: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监测项目</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日平均浓度（mg/m</w:t>
            </w:r>
            <w:r>
              <w:rPr>
                <w:rFonts w:hint="eastAsia" w:ascii="仿宋" w:hAnsi="仿宋"/>
                <w:color w:val="000000" w:themeColor="text1"/>
                <w:sz w:val="21"/>
                <w:szCs w:val="21"/>
                <w:vertAlign w:val="superscript"/>
                <w14:textFill>
                  <w14:solidFill>
                    <w14:schemeClr w14:val="tx1"/>
                  </w14:solidFill>
                </w14:textFill>
              </w:rPr>
              <w:t>3</w:t>
            </w:r>
            <w:r>
              <w:rPr>
                <w:rFonts w:hint="eastAsia" w:ascii="仿宋" w:hAnsi="仿宋"/>
                <w:color w:val="000000" w:themeColor="text1"/>
                <w:sz w:val="21"/>
                <w:szCs w:val="21"/>
                <w14:textFill>
                  <w14:solidFill>
                    <w14:schemeClr w14:val="tx1"/>
                  </w14:solidFill>
                </w14:textFill>
              </w:rPr>
              <w:t>）</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Ii</w:t>
            </w:r>
          </w:p>
        </w:tc>
        <w:tc>
          <w:tcPr>
            <w:tcW w:w="1651"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超标情况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7" w:hRule="atLeast"/>
        </w:trPr>
        <w:tc>
          <w:tcPr>
            <w:tcW w:w="1917" w:type="dxa"/>
            <w:vMerge w:val="restart"/>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勐龙镇</w:t>
            </w: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SO</w:t>
            </w:r>
            <w:r>
              <w:rPr>
                <w:rFonts w:hint="eastAsia" w:ascii="仿宋" w:hAnsi="仿宋"/>
                <w:color w:val="000000" w:themeColor="text1"/>
                <w:sz w:val="21"/>
                <w:szCs w:val="21"/>
                <w:vertAlign w:val="subscript"/>
                <w14:textFill>
                  <w14:solidFill>
                    <w14:schemeClr w14:val="tx1"/>
                  </w14:solidFill>
                </w14:textFill>
              </w:rPr>
              <w:t>2</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未检出</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w:t>
            </w:r>
          </w:p>
        </w:tc>
        <w:tc>
          <w:tcPr>
            <w:tcW w:w="1651"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NO</w:t>
            </w:r>
            <w:r>
              <w:rPr>
                <w:rFonts w:hint="eastAsia" w:ascii="仿宋" w:hAnsi="仿宋"/>
                <w:color w:val="000000" w:themeColor="text1"/>
                <w:sz w:val="21"/>
                <w:szCs w:val="21"/>
                <w:vertAlign w:val="subscript"/>
                <w14:textFill>
                  <w14:solidFill>
                    <w14:schemeClr w14:val="tx1"/>
                  </w14:solidFill>
                </w14:textFill>
              </w:rPr>
              <w:t>2</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0.005</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0.42</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TSP</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0.107</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0.36</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restart"/>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铁矿选厂</w:t>
            </w: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SO</w:t>
            </w:r>
            <w:r>
              <w:rPr>
                <w:rFonts w:hint="eastAsia" w:ascii="仿宋" w:hAnsi="仿宋"/>
                <w:color w:val="000000" w:themeColor="text1"/>
                <w:sz w:val="21"/>
                <w:szCs w:val="21"/>
                <w:vertAlign w:val="subscript"/>
                <w14:textFill>
                  <w14:solidFill>
                    <w14:schemeClr w14:val="tx1"/>
                  </w14:solidFill>
                </w14:textFill>
              </w:rPr>
              <w:t>2</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未检出</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NO</w:t>
            </w:r>
            <w:r>
              <w:rPr>
                <w:rFonts w:hint="eastAsia" w:ascii="仿宋" w:hAnsi="仿宋"/>
                <w:color w:val="000000" w:themeColor="text1"/>
                <w:sz w:val="21"/>
                <w:szCs w:val="21"/>
                <w:vertAlign w:val="subscript"/>
                <w14:textFill>
                  <w14:solidFill>
                    <w14:schemeClr w14:val="tx1"/>
                  </w14:solidFill>
                </w14:textFill>
              </w:rPr>
              <w:t>2</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0.004</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0.33</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TSP</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0.081</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0.27</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restart"/>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曼南坎村民小组</w:t>
            </w: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SO</w:t>
            </w:r>
            <w:r>
              <w:rPr>
                <w:rFonts w:hint="eastAsia" w:ascii="仿宋" w:hAnsi="仿宋"/>
                <w:color w:val="000000" w:themeColor="text1"/>
                <w:sz w:val="21"/>
                <w:szCs w:val="21"/>
                <w:vertAlign w:val="subscript"/>
                <w14:textFill>
                  <w14:solidFill>
                    <w14:schemeClr w14:val="tx1"/>
                  </w14:solidFill>
                </w14:textFill>
              </w:rPr>
              <w:t>2</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未检出</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NO</w:t>
            </w:r>
            <w:r>
              <w:rPr>
                <w:rFonts w:hint="eastAsia" w:ascii="仿宋" w:hAnsi="仿宋"/>
                <w:color w:val="000000" w:themeColor="text1"/>
                <w:sz w:val="21"/>
                <w:szCs w:val="21"/>
                <w:vertAlign w:val="subscript"/>
                <w14:textFill>
                  <w14:solidFill>
                    <w14:schemeClr w14:val="tx1"/>
                  </w14:solidFill>
                </w14:textFill>
              </w:rPr>
              <w:t>2</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0.005</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0.42</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17"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1526"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TSP</w:t>
            </w:r>
          </w:p>
        </w:tc>
        <w:tc>
          <w:tcPr>
            <w:tcW w:w="222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0.106</w:t>
            </w:r>
          </w:p>
        </w:tc>
        <w:tc>
          <w:tcPr>
            <w:tcW w:w="1640"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0.35</w:t>
            </w:r>
          </w:p>
        </w:tc>
        <w:tc>
          <w:tcPr>
            <w:tcW w:w="1651" w:type="dxa"/>
            <w:vAlign w:val="center"/>
          </w:tcPr>
          <w:p>
            <w:pPr>
              <w:spacing w:line="240" w:lineRule="auto"/>
              <w:ind w:firstLine="420"/>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未超标</w:t>
            </w:r>
          </w:p>
        </w:tc>
      </w:tr>
    </w:tbl>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上表结果表明：各监测点单项污染指数Ii值均小于1.0，监测值不超标，满足GB3095-1996《环境空气质量标准》中二级标准要求的限值，区内环境空气质量良好。</w:t>
      </w:r>
    </w:p>
    <w:p>
      <w:pPr>
        <w:ind w:firstLine="56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表2.5-4南坎河评价河段水质监测结果和评价结果表</w:t>
      </w:r>
    </w:p>
    <w:tbl>
      <w:tblPr>
        <w:tblStyle w:val="32"/>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783"/>
        <w:gridCol w:w="2782"/>
        <w:gridCol w:w="278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1" w:hRule="atLeast"/>
          <w:jc w:val="center"/>
        </w:trPr>
        <w:tc>
          <w:tcPr>
            <w:tcW w:w="2783" w:type="dxa"/>
            <w:vMerge w:val="restart"/>
            <w:tcBorders>
              <w:tl2br w:val="single" w:color="auto" w:sz="4" w:space="0"/>
            </w:tcBorders>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结果</w:t>
            </w:r>
          </w:p>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项目</w:t>
            </w:r>
          </w:p>
        </w:tc>
        <w:tc>
          <w:tcPr>
            <w:tcW w:w="5564" w:type="dxa"/>
            <w:gridSpan w:val="2"/>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项目区南坎河的上游约4km处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jc w:val="center"/>
        </w:trPr>
        <w:tc>
          <w:tcPr>
            <w:tcW w:w="2783" w:type="dxa"/>
            <w:vMerge w:val="continue"/>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实测3日均值</w:t>
            </w:r>
          </w:p>
        </w:tc>
        <w:tc>
          <w:tcPr>
            <w:tcW w:w="2782" w:type="dxa"/>
            <w:vAlign w:val="center"/>
          </w:tcPr>
          <w:p>
            <w:pPr>
              <w:pStyle w:val="30"/>
              <w:spacing w:line="240" w:lineRule="auto"/>
              <w:ind w:left="0" w:leftChars="0" w:firstLine="0" w:firstLineChars="0"/>
              <w:jc w:val="center"/>
              <w:rPr>
                <w:rFonts w:ascii="仿宋" w:hAnsi="仿宋"/>
                <w:i/>
                <w:color w:val="000000" w:themeColor="text1"/>
                <w:sz w:val="21"/>
                <w:szCs w:val="21"/>
                <w14:textFill>
                  <w14:solidFill>
                    <w14:schemeClr w14:val="tx1"/>
                  </w14:solidFill>
                </w14:textFill>
              </w:rPr>
            </w:pPr>
            <w:r>
              <w:rPr>
                <w:rFonts w:hint="eastAsia" w:ascii="仿宋" w:hAnsi="仿宋"/>
                <w:i/>
                <w:color w:val="000000" w:themeColor="text1"/>
                <w:sz w:val="21"/>
                <w:szCs w:val="21"/>
                <w14:textFill>
                  <w14:solidFill>
                    <w14:schemeClr w14:val="tx1"/>
                  </w14:solidFill>
                </w14:textFill>
              </w:rPr>
              <w:t>Pi</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pH</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7.82</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0.41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悬浮物</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65</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化学需氧量</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2.75</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0.14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氨氮</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0.160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铜</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锌</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铅</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镉</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铁</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0.426</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锰</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六价铬</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汞</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未检出</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砷</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783"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石油类</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0.000</w:t>
            </w:r>
          </w:p>
        </w:tc>
        <w:tc>
          <w:tcPr>
            <w:tcW w:w="2782" w:type="dxa"/>
            <w:vAlign w:val="center"/>
          </w:tcPr>
          <w:p>
            <w:pPr>
              <w:pStyle w:val="30"/>
              <w:spacing w:line="240" w:lineRule="auto"/>
              <w:ind w:left="0" w:leftChars="0" w:firstLine="0" w:firstLineChars="0"/>
              <w:jc w:val="center"/>
              <w:rPr>
                <w:rFonts w:ascii="仿宋" w:hAnsi="仿宋"/>
                <w:color w:val="000000" w:themeColor="text1"/>
                <w:sz w:val="21"/>
                <w:szCs w:val="21"/>
                <w14:textFill>
                  <w14:solidFill>
                    <w14:schemeClr w14:val="tx1"/>
                  </w14:solidFill>
                </w14:textFill>
              </w:rPr>
            </w:pPr>
            <w:r>
              <w:rPr>
                <w:rFonts w:hint="eastAsia" w:ascii="仿宋" w:hAnsi="仿宋"/>
                <w:color w:val="000000" w:themeColor="text1"/>
                <w:sz w:val="21"/>
                <w:szCs w:val="21"/>
                <w14:textFill>
                  <w14:solidFill>
                    <w14:schemeClr w14:val="tx1"/>
                  </w14:solidFill>
                </w14:textFill>
              </w:rPr>
              <w:t>0</w:t>
            </w:r>
          </w:p>
        </w:tc>
      </w:tr>
    </w:tbl>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上表结果表明：各监测点单项污染指数Pi值均小于1.0，由此确定南坎河监测断面的12个监测值不超标，满足GB383-2002《地表水环境质量标准》的Ⅲ类标准要求的限值，区内环境空气质量良好。</w:t>
      </w:r>
    </w:p>
    <w:p>
      <w:pPr>
        <w:pStyle w:val="17"/>
        <w:rPr>
          <w:color w:val="000000" w:themeColor="text1"/>
          <w14:textFill>
            <w14:solidFill>
              <w14:schemeClr w14:val="tx1"/>
            </w14:solidFill>
          </w14:textFill>
        </w:rPr>
      </w:pPr>
      <w:bookmarkStart w:id="45" w:name="_Toc4255"/>
      <w:bookmarkStart w:id="46" w:name="_Toc43143176"/>
      <w:r>
        <w:rPr>
          <w:color w:val="000000" w:themeColor="text1"/>
          <w14:textFill>
            <w14:solidFill>
              <w14:schemeClr w14:val="tx1"/>
            </w14:solidFill>
          </w14:textFill>
        </w:rPr>
        <w:t>3尾矿库环境风险评估</w:t>
      </w:r>
      <w:bookmarkEnd w:id="45"/>
      <w:bookmarkEnd w:id="46"/>
    </w:p>
    <w:p>
      <w:pPr>
        <w:pStyle w:val="18"/>
        <w:rPr>
          <w:color w:val="000000" w:themeColor="text1"/>
          <w14:textFill>
            <w14:solidFill>
              <w14:schemeClr w14:val="tx1"/>
            </w14:solidFill>
          </w14:textFill>
        </w:rPr>
      </w:pPr>
      <w:bookmarkStart w:id="47" w:name="_Toc43143177"/>
      <w:bookmarkStart w:id="48" w:name="_Toc24626"/>
      <w:r>
        <w:rPr>
          <w:color w:val="000000" w:themeColor="text1"/>
          <w14:textFill>
            <w14:solidFill>
              <w14:schemeClr w14:val="tx1"/>
            </w14:solidFill>
          </w14:textFill>
        </w:rPr>
        <w:t>3.1环境风险预判情况</w:t>
      </w:r>
      <w:bookmarkEnd w:id="47"/>
      <w:bookmarkEnd w:id="48"/>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尾矿库环境风险评估报告》中尾矿库环境风险的预判结果：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该尾矿库为四等库，主要接收云南安宁泰源工贸集团有限公司景洪分公司选厂选铁尾矿；尾矿库距离缅甸最短距离7.41km；下游五百米处是曼南坎村，人口规模达782人；且周边基本为曼南坎村民的果树种植基地；尾矿库近</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年内未发生过较大及以上等级的生产安全事故或突发环境事件，也不存在恶意环境违法行为或因环境问题与周边存在纠纷。</w:t>
      </w:r>
    </w:p>
    <w:p>
      <w:pPr>
        <w:ind w:firstLine="560"/>
        <w:rPr>
          <w:rFonts w:hint="eastAsia" w:ascii="Times New Roman" w:hAnsi="Times New Roman" w:cs="宋体"/>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云南安宁泰源工贸集团有限公司景洪分公司尾矿库属于重点环境监管尾矿库，</w:t>
      </w:r>
      <w:r>
        <w:rPr>
          <w:rFonts w:hint="eastAsia" w:ascii="Times New Roman" w:hAnsi="Times New Roman" w:cs="宋体"/>
          <w:color w:val="000000" w:themeColor="text1"/>
          <w:lang w:val="en-US" w:eastAsia="zh-CN"/>
          <w14:textFill>
            <w14:solidFill>
              <w14:schemeClr w14:val="tx1"/>
            </w14:solidFill>
          </w14:textFill>
        </w:rPr>
        <w:t>已于2023年4月进行调查并编制了《</w:t>
      </w:r>
      <w:bookmarkStart w:id="49" w:name="_Toc28654"/>
      <w:r>
        <w:rPr>
          <w:rFonts w:hint="default" w:ascii="Times New Roman" w:hAnsi="Times New Roman" w:cs="宋体"/>
          <w:color w:val="000000" w:themeColor="text1"/>
          <w:lang w:val="en-US" w:eastAsia="zh-CN"/>
          <w14:textFill>
            <w14:solidFill>
              <w14:schemeClr w14:val="tx1"/>
            </w14:solidFill>
          </w14:textFill>
        </w:rPr>
        <w:t>云南安宁泰源工贸集团有限公司景洪分公司曼南坎铁矿尾矿库环境风险排查及评估报告</w:t>
      </w:r>
      <w:bookmarkEnd w:id="49"/>
      <w:r>
        <w:rPr>
          <w:rFonts w:hint="eastAsia" w:ascii="Times New Roman" w:hAnsi="Times New Roman" w:cs="宋体"/>
          <w:color w:val="000000" w:themeColor="text1"/>
          <w:lang w:val="en-US" w:eastAsia="zh-CN"/>
          <w14:textFill>
            <w14:solidFill>
              <w14:schemeClr w14:val="tx1"/>
            </w14:solidFill>
          </w14:textFill>
        </w:rPr>
        <w:t>》，2023年5月针对排查存在的环境风险问题编制了《</w:t>
      </w:r>
      <w:r>
        <w:rPr>
          <w:rFonts w:hint="default" w:ascii="Times New Roman" w:hAnsi="Times New Roman" w:cs="宋体"/>
          <w:color w:val="000000" w:themeColor="text1"/>
          <w:lang w:val="en-US" w:eastAsia="zh-CN"/>
          <w14:textFill>
            <w14:solidFill>
              <w14:schemeClr w14:val="tx1"/>
            </w14:solidFill>
          </w14:textFill>
        </w:rPr>
        <w:t>云南安宁泰源工贸集团有限公司景洪分公司曼南坎铁矿尾矿库环境</w:t>
      </w:r>
      <w:r>
        <w:rPr>
          <w:rFonts w:hint="eastAsia" w:ascii="Times New Roman" w:hAnsi="Times New Roman" w:cs="宋体"/>
          <w:color w:val="000000" w:themeColor="text1"/>
          <w:lang w:val="en-US" w:eastAsia="zh-CN"/>
          <w14:textFill>
            <w14:solidFill>
              <w14:schemeClr w14:val="tx1"/>
            </w14:solidFill>
          </w14:textFill>
        </w:rPr>
        <w:t>隐患整治方案》2023年6月完成环境风险隐患整治，编制《</w:t>
      </w:r>
      <w:bookmarkStart w:id="50" w:name="_Toc22255"/>
      <w:r>
        <w:rPr>
          <w:rFonts w:hint="default" w:ascii="Times New Roman" w:hAnsi="Times New Roman" w:cs="宋体"/>
          <w:color w:val="000000" w:themeColor="text1"/>
          <w:lang w:val="en-US" w:eastAsia="zh-CN"/>
          <w14:textFill>
            <w14:solidFill>
              <w14:schemeClr w14:val="tx1"/>
            </w14:solidFill>
          </w14:textFill>
        </w:rPr>
        <w:t>云南安宁泰源工贸集团有限公司景洪分公司曼南坎铁矿</w:t>
      </w:r>
      <w:r>
        <w:rPr>
          <w:rFonts w:hint="eastAsia" w:ascii="Times New Roman" w:hAnsi="Times New Roman" w:cs="宋体"/>
          <w:color w:val="000000" w:themeColor="text1"/>
          <w:lang w:val="en-US" w:eastAsia="zh-CN"/>
          <w14:textFill>
            <w14:solidFill>
              <w14:schemeClr w14:val="tx1"/>
            </w14:solidFill>
          </w14:textFill>
        </w:rPr>
        <w:t>尾矿库环境</w:t>
      </w:r>
      <w:bookmarkEnd w:id="50"/>
      <w:bookmarkStart w:id="51" w:name="_Toc25492"/>
      <w:r>
        <w:rPr>
          <w:rFonts w:hint="eastAsia" w:ascii="Times New Roman" w:hAnsi="Times New Roman" w:cs="宋体"/>
          <w:color w:val="000000" w:themeColor="text1"/>
          <w:lang w:val="en-US" w:eastAsia="zh-CN"/>
          <w14:textFill>
            <w14:solidFill>
              <w14:schemeClr w14:val="tx1"/>
            </w14:solidFill>
          </w14:textFill>
        </w:rPr>
        <w:t>风险隐患问题整改情况报告</w:t>
      </w:r>
      <w:bookmarkEnd w:id="51"/>
      <w:r>
        <w:rPr>
          <w:rFonts w:hint="eastAsia" w:ascii="Times New Roman" w:hAnsi="Times New Roman" w:cs="宋体"/>
          <w:color w:val="000000" w:themeColor="text1"/>
          <w:lang w:val="en-US" w:eastAsia="zh-CN"/>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w:t>
      </w:r>
    </w:p>
    <w:p>
      <w:pPr>
        <w:pStyle w:val="18"/>
        <w:rPr>
          <w:color w:val="000000" w:themeColor="text1"/>
          <w14:textFill>
            <w14:solidFill>
              <w14:schemeClr w14:val="tx1"/>
            </w14:solidFill>
          </w14:textFill>
        </w:rPr>
      </w:pPr>
      <w:bookmarkStart w:id="52" w:name="_Toc43143178"/>
      <w:bookmarkStart w:id="53" w:name="_Toc2649"/>
      <w:r>
        <w:rPr>
          <w:color w:val="000000" w:themeColor="text1"/>
          <w14:textFill>
            <w14:solidFill>
              <w14:schemeClr w14:val="tx1"/>
            </w14:solidFill>
          </w14:textFill>
        </w:rPr>
        <w:t>3.2环境风险等级划分</w:t>
      </w:r>
      <w:bookmarkEnd w:id="52"/>
      <w:bookmarkEnd w:id="53"/>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根据《云南安宁泰源工贸集团有限公司景洪分公司尾矿库环境风险评估报告》中环境风险等级的划分结果（详见附件2-2）：</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尾矿库环境危害性得分DH</w:t>
      </w:r>
      <w:r>
        <w:rPr>
          <w:rFonts w:hint="eastAsia"/>
          <w:color w:val="000000" w:themeColor="text1"/>
          <w14:textFill>
            <w14:solidFill>
              <w14:schemeClr w14:val="tx1"/>
            </w14:solidFill>
          </w14:textFill>
        </w:rPr>
        <w:t>=28≤30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尾矿库环境危害性等别</w:t>
      </w:r>
      <w:r>
        <w:rPr>
          <w:color w:val="000000" w:themeColor="text1"/>
          <w14:textFill>
            <w14:solidFill>
              <w14:schemeClr w14:val="tx1"/>
            </w14:solidFill>
          </w14:textFill>
        </w:rPr>
        <w:t>为H</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周边环境敏感性得分</w:t>
      </w:r>
      <w:r>
        <w:rPr>
          <w:rFonts w:hint="eastAsia"/>
          <w:color w:val="000000" w:themeColor="text1"/>
          <w14:textFill>
            <w14:solidFill>
              <w14:schemeClr w14:val="tx1"/>
            </w14:solidFill>
          </w14:textFill>
        </w:rPr>
        <w:t>30＜</w:t>
      </w:r>
      <w:r>
        <w:rPr>
          <w:color w:val="000000" w:themeColor="text1"/>
          <w14:textFill>
            <w14:solidFill>
              <w14:schemeClr w14:val="tx1"/>
            </w14:solidFill>
          </w14:textFill>
        </w:rPr>
        <w:t>DS=</w:t>
      </w:r>
      <w:r>
        <w:rPr>
          <w:rFonts w:hint="eastAsia"/>
          <w:color w:val="000000" w:themeColor="text1"/>
          <w14:textFill>
            <w14:solidFill>
              <w14:schemeClr w14:val="tx1"/>
            </w14:solidFill>
          </w14:textFill>
        </w:rPr>
        <w:t>50.5≤60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尾矿库</w:t>
      </w:r>
      <w:r>
        <w:rPr>
          <w:color w:val="000000" w:themeColor="text1"/>
          <w14:textFill>
            <w14:solidFill>
              <w14:schemeClr w14:val="tx1"/>
            </w14:solidFill>
          </w14:textFill>
        </w:rPr>
        <w:t>周边环境敏感性等别为S</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控制机制可靠性得分DR=2</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.25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尾矿库控制机制可靠性</w:t>
      </w:r>
      <w:r>
        <w:rPr>
          <w:color w:val="000000" w:themeColor="text1"/>
          <w14:textFill>
            <w14:solidFill>
              <w14:schemeClr w14:val="tx1"/>
            </w14:solidFill>
          </w14:textFill>
        </w:rPr>
        <w:t>等别为R3</w:t>
      </w:r>
      <w:r>
        <w:rPr>
          <w:rFonts w:hint="eastAsia"/>
          <w:color w:val="000000" w:themeColor="text1"/>
          <w14:textFill>
            <w14:solidFill>
              <w14:schemeClr w14:val="tx1"/>
            </w14:solidFill>
          </w14:textFill>
        </w:rPr>
        <w:t>。</w:t>
      </w:r>
    </w:p>
    <w:p>
      <w:pPr>
        <w:ind w:firstLine="560"/>
        <w:rPr>
          <w:rFonts w:cs="Times New Roman"/>
          <w:color w:val="000000" w:themeColor="text1"/>
          <w:szCs w:val="28"/>
          <w14:textFill>
            <w14:solidFill>
              <w14:schemeClr w14:val="tx1"/>
            </w14:solidFill>
          </w14:textFill>
        </w:rPr>
      </w:pPr>
      <w:r>
        <w:rPr>
          <w:rFonts w:hint="eastAsia"/>
          <w:color w:val="000000" w:themeColor="text1"/>
          <w14:textFill>
            <w14:solidFill>
              <w14:schemeClr w14:val="tx1"/>
            </w14:solidFill>
          </w14:textFill>
        </w:rPr>
        <w:t>综合尾矿库环境危害性（</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）、周边环境敏感性（</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）、控制机制可靠性（</w:t>
      </w:r>
      <w:r>
        <w:rPr>
          <w:color w:val="000000" w:themeColor="text1"/>
          <w14:textFill>
            <w14:solidFill>
              <w14:schemeClr w14:val="tx1"/>
            </w14:solidFill>
          </w14:textFill>
        </w:rPr>
        <w:t>R</w:t>
      </w:r>
      <w:r>
        <w:rPr>
          <w:rFonts w:hint="eastAsia"/>
          <w:color w:val="000000" w:themeColor="text1"/>
          <w14:textFill>
            <w14:solidFill>
              <w14:schemeClr w14:val="tx1"/>
            </w14:solidFill>
          </w14:textFill>
        </w:rPr>
        <w:t>）三方面的等别，对照尾矿库环境风险等级划分矩阵（见表3.2-1），云南安宁泰源工贸集团有限公司景洪分公司</w:t>
      </w:r>
      <w:r>
        <w:rPr>
          <w:color w:val="000000" w:themeColor="text1"/>
          <w14:textFill>
            <w14:solidFill>
              <w14:schemeClr w14:val="tx1"/>
            </w14:solidFill>
          </w14:textFill>
        </w:rPr>
        <w:t>尾矿库环境风险等级表征为</w:t>
      </w:r>
      <w:r>
        <w:rPr>
          <w:rFonts w:hint="eastAsia"/>
          <w:color w:val="000000" w:themeColor="text1"/>
          <w14:textFill>
            <w14:solidFill>
              <w14:schemeClr w14:val="tx1"/>
            </w14:solidFill>
          </w14:textFill>
        </w:rPr>
        <w:t>“一般（</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R3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spacing w:after="190" w:afterLines="50"/>
        <w:ind w:firstLine="562"/>
        <w:jc w:val="center"/>
        <w:rPr>
          <w:rFonts w:cs="Times New Roman"/>
          <w:b/>
          <w:color w:val="000000" w:themeColor="text1"/>
          <w:kern w:val="2"/>
          <w:sz w:val="24"/>
          <w:szCs w:val="21"/>
          <w14:textFill>
            <w14:solidFill>
              <w14:schemeClr w14:val="tx1"/>
            </w14:solidFill>
          </w14:textFill>
        </w:rPr>
      </w:pPr>
    </w:p>
    <w:p>
      <w:pPr>
        <w:pStyle w:val="2"/>
        <w:rPr>
          <w:rFonts w:cs="Times New Roman"/>
          <w:b/>
          <w:color w:val="000000" w:themeColor="text1"/>
          <w:kern w:val="2"/>
          <w:sz w:val="24"/>
          <w:szCs w:val="21"/>
          <w14:textFill>
            <w14:solidFill>
              <w14:schemeClr w14:val="tx1"/>
            </w14:solidFill>
          </w14:textFill>
        </w:rPr>
      </w:pPr>
    </w:p>
    <w:p>
      <w:pPr>
        <w:pStyle w:val="3"/>
        <w:rPr>
          <w:rFonts w:cs="Times New Roman"/>
          <w:b/>
          <w:color w:val="000000" w:themeColor="text1"/>
          <w:kern w:val="2"/>
          <w:sz w:val="24"/>
          <w:szCs w:val="21"/>
          <w14:textFill>
            <w14:solidFill>
              <w14:schemeClr w14:val="tx1"/>
            </w14:solidFill>
          </w14:textFill>
        </w:rPr>
      </w:pPr>
    </w:p>
    <w:p>
      <w:pPr>
        <w:pStyle w:val="5"/>
        <w:rPr>
          <w:rFonts w:cs="Times New Roman"/>
          <w:b/>
          <w:color w:val="000000" w:themeColor="text1"/>
          <w:kern w:val="2"/>
          <w:sz w:val="24"/>
          <w:szCs w:val="21"/>
          <w14:textFill>
            <w14:solidFill>
              <w14:schemeClr w14:val="tx1"/>
            </w14:solidFill>
          </w14:textFill>
        </w:rPr>
      </w:pPr>
    </w:p>
    <w:p>
      <w:pPr>
        <w:pStyle w:val="7"/>
        <w:rPr>
          <w:color w:val="000000" w:themeColor="text1"/>
          <w14:textFill>
            <w14:solidFill>
              <w14:schemeClr w14:val="tx1"/>
            </w14:solidFill>
          </w14:textFill>
        </w:rPr>
      </w:pPr>
    </w:p>
    <w:p>
      <w:pPr>
        <w:spacing w:after="190" w:afterLines="50"/>
        <w:ind w:firstLine="562"/>
        <w:jc w:val="center"/>
        <w:rPr>
          <w:rFonts w:cs="Times New Roman"/>
          <w:b/>
          <w:color w:val="000000" w:themeColor="text1"/>
          <w:kern w:val="2"/>
          <w:sz w:val="24"/>
          <w:szCs w:val="21"/>
          <w14:textFill>
            <w14:solidFill>
              <w14:schemeClr w14:val="tx1"/>
            </w14:solidFill>
          </w14:textFill>
        </w:rPr>
      </w:pPr>
      <w:r>
        <w:rPr>
          <w:rFonts w:cs="Times New Roman"/>
          <w:b/>
          <w:color w:val="000000" w:themeColor="text1"/>
          <w:kern w:val="2"/>
          <w:sz w:val="24"/>
          <w:szCs w:val="21"/>
          <w14:textFill>
            <w14:solidFill>
              <w14:schemeClr w14:val="tx1"/>
            </w14:solidFill>
          </w14:textFill>
        </w:rPr>
        <w:t>表</w:t>
      </w:r>
      <w:r>
        <w:rPr>
          <w:rFonts w:hint="eastAsia" w:cs="Times New Roman"/>
          <w:b/>
          <w:color w:val="000000" w:themeColor="text1"/>
          <w:kern w:val="2"/>
          <w:sz w:val="24"/>
          <w:szCs w:val="21"/>
          <w14:textFill>
            <w14:solidFill>
              <w14:schemeClr w14:val="tx1"/>
            </w14:solidFill>
          </w14:textFill>
        </w:rPr>
        <w:t>3</w:t>
      </w:r>
      <w:r>
        <w:rPr>
          <w:rFonts w:cs="Times New Roman"/>
          <w:b/>
          <w:color w:val="000000" w:themeColor="text1"/>
          <w:kern w:val="2"/>
          <w:sz w:val="24"/>
          <w:szCs w:val="21"/>
          <w14:textFill>
            <w14:solidFill>
              <w14:schemeClr w14:val="tx1"/>
            </w14:solidFill>
          </w14:textFill>
        </w:rPr>
        <w:t>.2-</w:t>
      </w:r>
      <w:r>
        <w:rPr>
          <w:rFonts w:hint="eastAsia" w:cs="Times New Roman"/>
          <w:b/>
          <w:color w:val="000000" w:themeColor="text1"/>
          <w:kern w:val="2"/>
          <w:sz w:val="24"/>
          <w:szCs w:val="21"/>
          <w14:textFill>
            <w14:solidFill>
              <w14:schemeClr w14:val="tx1"/>
            </w14:solidFill>
          </w14:textFill>
        </w:rPr>
        <w:t>1</w:t>
      </w:r>
      <w:r>
        <w:rPr>
          <w:rFonts w:hint="eastAsia" w:cs="Times New Roman"/>
          <w:b/>
          <w:color w:val="000000" w:themeColor="text1"/>
          <w:kern w:val="2"/>
          <w:sz w:val="24"/>
          <w:szCs w:val="21"/>
          <w:lang w:val="en-US" w:eastAsia="zh-CN"/>
          <w14:textFill>
            <w14:solidFill>
              <w14:schemeClr w14:val="tx1"/>
            </w14:solidFill>
          </w14:textFill>
        </w:rPr>
        <w:t xml:space="preserve"> </w:t>
      </w:r>
      <w:r>
        <w:rPr>
          <w:rFonts w:cs="Times New Roman"/>
          <w:b/>
          <w:color w:val="000000" w:themeColor="text1"/>
          <w:kern w:val="2"/>
          <w:sz w:val="24"/>
          <w:szCs w:val="21"/>
          <w14:textFill>
            <w14:solidFill>
              <w14:schemeClr w14:val="tx1"/>
            </w14:solidFill>
          </w14:textFill>
        </w:rPr>
        <w:t>尾矿库环境风险等级划分矩阵</w:t>
      </w:r>
    </w:p>
    <w:tbl>
      <w:tblPr>
        <w:tblStyle w:val="3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1787"/>
        <w:gridCol w:w="2284"/>
        <w:gridCol w:w="2333"/>
        <w:gridCol w:w="1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10"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序号</w:t>
            </w:r>
          </w:p>
        </w:tc>
        <w:tc>
          <w:tcPr>
            <w:tcW w:w="6404" w:type="dxa"/>
            <w:gridSpan w:val="3"/>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情形</w:t>
            </w:r>
          </w:p>
        </w:tc>
        <w:tc>
          <w:tcPr>
            <w:tcW w:w="1783"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环境风险等级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jc w:val="center"/>
        </w:trPr>
        <w:tc>
          <w:tcPr>
            <w:tcW w:w="710"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sz w:val="24"/>
                <w:szCs w:val="24"/>
                <w:lang w:eastAsia="en-US"/>
                <w14:textFill>
                  <w14:solidFill>
                    <w14:schemeClr w14:val="tx1"/>
                  </w14:solidFill>
                </w14:textFill>
              </w:rPr>
            </w:pPr>
          </w:p>
        </w:tc>
        <w:tc>
          <w:tcPr>
            <w:tcW w:w="1787" w:type="dxa"/>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环境危害性（H）</w:t>
            </w:r>
          </w:p>
        </w:tc>
        <w:tc>
          <w:tcPr>
            <w:tcW w:w="2284" w:type="dxa"/>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sz w:val="24"/>
                <w:szCs w:val="24"/>
                <w14:textFill>
                  <w14:solidFill>
                    <w14:schemeClr w14:val="tx1"/>
                  </w14:solidFill>
                </w14:textFill>
              </w:rPr>
              <w:t>周边环境敏感性（S）</w:t>
            </w:r>
          </w:p>
        </w:tc>
        <w:tc>
          <w:tcPr>
            <w:tcW w:w="2333" w:type="dxa"/>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控制机制可靠性（R）</w:t>
            </w:r>
          </w:p>
        </w:tc>
        <w:tc>
          <w:tcPr>
            <w:tcW w:w="1783"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sz w:val="24"/>
                <w:szCs w:val="24"/>
                <w:lang w:eastAsia="en-US"/>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w:t>
            </w:r>
          </w:p>
        </w:tc>
        <w:tc>
          <w:tcPr>
            <w:tcW w:w="1787"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H1</w:t>
            </w: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S1</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3</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4</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S2</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5</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6</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7</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S3</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8</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9</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10</w:t>
            </w:r>
          </w:p>
        </w:tc>
        <w:tc>
          <w:tcPr>
            <w:tcW w:w="1787"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u w:val="double"/>
                <w:lang w:eastAsia="en-US"/>
                <w14:textFill>
                  <w14:solidFill>
                    <w14:schemeClr w14:val="tx1"/>
                  </w14:solidFill>
                </w14:textFill>
              </w:rPr>
              <w:t>H2</w:t>
            </w: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u w:val="double"/>
                <w:lang w:eastAsia="en-US"/>
                <w14:textFill>
                  <w14:solidFill>
                    <w14:schemeClr w14:val="tx1"/>
                  </w14:solidFill>
                </w14:textFill>
              </w:rPr>
              <w:t>S1</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11</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12</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u w:val="double"/>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u w:val="double"/>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13</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S2</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14</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15</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16</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S3</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17</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18</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19</w:t>
            </w:r>
          </w:p>
        </w:tc>
        <w:tc>
          <w:tcPr>
            <w:tcW w:w="1787"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H3</w:t>
            </w: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S1</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20</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较大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21</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22</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S2</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23</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24</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25</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restart"/>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S3</w:t>
            </w: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R1</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26</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R2</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10"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27</w:t>
            </w:r>
          </w:p>
        </w:tc>
        <w:tc>
          <w:tcPr>
            <w:tcW w:w="1787"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284" w:type="dxa"/>
            <w:vMerge w:val="continue"/>
            <w:tcBorders>
              <w:top w:val="nil"/>
            </w:tcBorders>
            <w:vAlign w:val="center"/>
          </w:tcPr>
          <w:p>
            <w:pPr>
              <w:adjustRightInd/>
              <w:spacing w:line="240" w:lineRule="auto"/>
              <w:ind w:firstLine="360" w:firstLineChars="150"/>
              <w:jc w:val="center"/>
              <w:textAlignment w:val="auto"/>
              <w:rPr>
                <w:rFonts w:cs="仿宋"/>
                <w:color w:val="000000" w:themeColor="text1"/>
                <w:kern w:val="2"/>
                <w:sz w:val="24"/>
                <w:szCs w:val="24"/>
                <w14:textFill>
                  <w14:solidFill>
                    <w14:schemeClr w14:val="tx1"/>
                  </w14:solidFill>
                </w14:textFill>
              </w:rPr>
            </w:pPr>
          </w:p>
        </w:tc>
        <w:tc>
          <w:tcPr>
            <w:tcW w:w="233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R3</w:t>
            </w:r>
          </w:p>
        </w:tc>
        <w:tc>
          <w:tcPr>
            <w:tcW w:w="1783" w:type="dxa"/>
            <w:vAlign w:val="center"/>
          </w:tcPr>
          <w:p>
            <w:pPr>
              <w:adjustRightInd/>
              <w:spacing w:line="240" w:lineRule="auto"/>
              <w:ind w:firstLine="0" w:firstLineChars="0"/>
              <w:jc w:val="center"/>
              <w:textAlignment w:val="auto"/>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一般</w:t>
            </w:r>
          </w:p>
        </w:tc>
      </w:tr>
    </w:tbl>
    <w:p>
      <w:pPr>
        <w:pStyle w:val="18"/>
        <w:rPr>
          <w:color w:val="000000" w:themeColor="text1"/>
          <w14:textFill>
            <w14:solidFill>
              <w14:schemeClr w14:val="tx1"/>
            </w14:solidFill>
          </w14:textFill>
        </w:rPr>
      </w:pPr>
      <w:bookmarkStart w:id="54" w:name="_Toc43143179"/>
      <w:bookmarkStart w:id="55" w:name="_Toc25396"/>
      <w:r>
        <w:rPr>
          <w:color w:val="000000" w:themeColor="text1"/>
          <w14:textFill>
            <w14:solidFill>
              <w14:schemeClr w14:val="tx1"/>
            </w14:solidFill>
          </w14:textFill>
        </w:rPr>
        <w:t>3.3尾矿库环境风险源及有害因素识别</w:t>
      </w:r>
      <w:bookmarkEnd w:id="54"/>
      <w:bookmarkEnd w:id="55"/>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尾矿库主要风险源包括垮坝、过度沉陷、渗流破坏、尾矿排放不当、坝坡失稳、排洪系统失效、振动液化、管涌、裂缝、尾矿输送管尾矿浆泄露、回水管道破裂、洪水漫顶等。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尾矿库实际情况作如下分析：</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（1）垮坝</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在尾矿库勘察、设计、施工、运行以及管理的全过程中，任何环节出现问题均可导致尾矿库不能正常使用，甚至导致垮坝。</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造成垮坝的主要因素包括：</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——排洪系统有缺陷，施工质量达不到规范要求，排洪系统淤堵。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——防洪、排水系统出现故障，造成库内水位过高或洪水漫坝导致垮坝。</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——大气降水量短时间内骤增、库周山体发生大面积滑坡、塌方，特大暴雨、库周山体滑坡、塌方导致库水位猛涨出现漫坝事故，暴雨形成洪水冲毁坝体。</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——尾矿堆积坝没有严格按照《选矿厂尾矿设施设计规范》要求设计，对库区地质没有勘察，坝体级别低于尾矿库等级，坝基不稳使坝体塌滑。</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——由不具备专业知识的人员管理，有关职能部门管理和监督不到位。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——坝面排水沟及坝端截水沟护砌变形、破损、断裂和磨蚀，沟内淤堵。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——尾矿库干堆场库区发生高于设防烈度的地震，地震造成持力区尾矿液化。</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（2）渗流破坏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渗流破坏是造成尾矿坝安全事故的主要原因之一，由于尾矿坝体浸润线过高，发生浸润线出逸形成的坝坡渗流、管涌，导致尾矿坝坡面水饱和、松软、沼泽化、隆起、流土、管涌，直至出现坝体塌陷、塌滑。</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造成渗流的主要因素有：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——未按照设计要求设置防渗、排渗设施；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——随意变更坝体防渗、排渗及反滤层的设置；</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——尾矿坝的排渗设施中的排渗棱体、排渗溽垫、排渗盲沟和排渗井在施工过程中选料不符合质量要求，未按照技术规范要求进行施工；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——尾矿排放筑坝过程中使矿泥在滩面上大面积沉积形成不透水夹层；</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——每期筑坝充填作业之前，岸坡上的草皮、树根、废管件等危及坝体安全的杂物不清除，遇有泉眼、水井、洞穴不进行岸坡处理或处理不当；</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——排水管发生沉陷、错位、裂缝等；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——发现异常现象未及时采取补救措施。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（3）排洪系统失效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造成排洪系统失效的主要因素有：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——随意变更排水系统的型式、布置及尺寸；</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——排水井、排水管设计施工不具备相应资质，施工质量低劣；</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——超过技术规范要求，进水口由漂浮物堵塞，最大裂缝开展宽度超出允许值，井壁剥蚀、脱落、渗漏现象严重，井、管联结部位变形、移位，停用井的封盖方法未按设计要求进行；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——排水管沿线地基不均匀沉陷或抗压强度不够造成变形、破损、断裂，最大裂缝开展宽度超出允许值，伸缩缝、止水及填充物作用失效，管内淤堵；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——坝面排水沟及坝端截水沟沿线不均匀沉陷造成破损、断裂，沟内淤堵。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（4）尾矿输送管尾矿浆泄</w:t>
      </w:r>
      <w:r>
        <w:rPr>
          <w:rFonts w:hint="eastAsia"/>
          <w:color w:val="000000" w:themeColor="text1"/>
          <w14:textFill>
            <w14:solidFill>
              <w14:schemeClr w14:val="tx1"/>
            </w14:solidFill>
          </w14:textFill>
        </w:rPr>
        <w:t>漏</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尾矿库尾矿浆输送管线长度约</w:t>
      </w:r>
      <w:r>
        <w:rPr>
          <w:rFonts w:hint="eastAsia"/>
          <w:color w:val="000000" w:themeColor="text1"/>
          <w14:textFill>
            <w14:solidFill>
              <w14:schemeClr w14:val="tx1"/>
            </w14:solidFill>
          </w14:textFill>
        </w:rPr>
        <w:t>1300</w:t>
      </w:r>
      <w:r>
        <w:rPr>
          <w:color w:val="000000" w:themeColor="text1"/>
          <w14:textFill>
            <w14:solidFill>
              <w14:schemeClr w14:val="tx1"/>
            </w14:solidFill>
          </w14:textFill>
        </w:rPr>
        <w:t>m，输送管道的水力坡降0.013，库区尾矿输送管选用</w:t>
      </w:r>
      <w:r>
        <w:rPr>
          <w:rFonts w:hint="eastAsia"/>
          <w:color w:val="000000" w:themeColor="text1"/>
          <w14:textFill>
            <w14:solidFill>
              <w14:schemeClr w14:val="tx1"/>
            </w14:solidFill>
          </w14:textFill>
        </w:rPr>
        <w:t>DN160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mm，输送管道一旦发生管破损、堵塞事故，若处理不及时进入到</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，会对</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水体造成一定的影响。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尾矿输送管线管道输送过程管道破裂等工程事故会产生尾矿浆的事故排放，若不采取相关措施，将会发生尾矿浆随地形向下游动，进入农户农田造成农田板结、农作物死亡；进入</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会对其水质造成影响，并在河道内进行沉积，影响水生生物的生长。</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回水管道破裂</w:t>
      </w:r>
    </w:p>
    <w:p>
      <w:pPr>
        <w:ind w:firstLine="560"/>
        <w:rPr>
          <w:rFonts w:cs="Times New Roman"/>
          <w:color w:val="000000" w:themeColor="text1"/>
          <w:szCs w:val="24"/>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云南安宁泰源工贸集团有限公司景洪分公司尾矿库的</w:t>
      </w:r>
      <w:r>
        <w:rPr>
          <w:color w:val="000000" w:themeColor="text1"/>
          <w14:textFill>
            <w14:solidFill>
              <w14:schemeClr w14:val="tx1"/>
            </w14:solidFill>
          </w14:textFill>
        </w:rPr>
        <w:t>回水方式采用以移动泵站在尾矿库内澄清区取水，用泵扬送到标高</w:t>
      </w:r>
      <w:r>
        <w:rPr>
          <w:rFonts w:hint="eastAsia"/>
          <w:color w:val="000000" w:themeColor="text1"/>
          <w14:textFill>
            <w14:solidFill>
              <w14:schemeClr w14:val="tx1"/>
            </w14:solidFill>
          </w14:textFill>
        </w:rPr>
        <w:t>1.2k</w:t>
      </w:r>
      <w:r>
        <w:rPr>
          <w:color w:val="000000" w:themeColor="text1"/>
          <w14:textFill>
            <w14:solidFill>
              <w14:schemeClr w14:val="tx1"/>
            </w14:solidFill>
          </w14:textFill>
        </w:rPr>
        <w:t>m的高位回水池，供生产循环使用。尾矿库</w:t>
      </w:r>
      <w:r>
        <w:rPr>
          <w:rFonts w:hint="eastAsia"/>
          <w:color w:val="000000" w:themeColor="text1"/>
          <w14:textFill>
            <w14:solidFill>
              <w14:schemeClr w14:val="tx1"/>
            </w14:solidFill>
          </w14:textFill>
        </w:rPr>
        <w:t>坝后</w:t>
      </w:r>
      <w:r>
        <w:rPr>
          <w:color w:val="000000" w:themeColor="text1"/>
          <w14:textFill>
            <w14:solidFill>
              <w14:schemeClr w14:val="tx1"/>
            </w14:solidFill>
          </w14:textFill>
        </w:rPr>
        <w:t>设有尾矿库渗滤液集水池，池内设有一台潜水泵，用于及时将渗滤液泵回尾矿库尾部，并最终泵回选厂循环使用。若尾矿废水回水管道发生破裂，将会导致尾矿废水外排，对下游</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及</w:t>
      </w:r>
      <w:r>
        <w:rPr>
          <w:rFonts w:hint="eastAsia"/>
          <w:color w:val="000000" w:themeColor="text1"/>
          <w14:textFill>
            <w14:solidFill>
              <w14:schemeClr w14:val="tx1"/>
            </w14:solidFill>
          </w14:textFill>
        </w:rPr>
        <w:t>澜沧江</w:t>
      </w:r>
      <w:r>
        <w:rPr>
          <w:color w:val="000000" w:themeColor="text1"/>
          <w14:textFill>
            <w14:solidFill>
              <w14:schemeClr w14:val="tx1"/>
            </w14:solidFill>
          </w14:textFill>
        </w:rPr>
        <w:t>造成影响，如被周边村民利用则可能引发二次污染。</w:t>
      </w:r>
    </w:p>
    <w:p>
      <w:pPr>
        <w:pStyle w:val="18"/>
        <w:rPr>
          <w:color w:val="000000" w:themeColor="text1"/>
          <w14:textFill>
            <w14:solidFill>
              <w14:schemeClr w14:val="tx1"/>
            </w14:solidFill>
          </w14:textFill>
        </w:rPr>
      </w:pPr>
      <w:bookmarkStart w:id="56" w:name="_Toc11488"/>
      <w:bookmarkStart w:id="57" w:name="_Toc43143180"/>
      <w:r>
        <w:rPr>
          <w:color w:val="000000" w:themeColor="text1"/>
          <w14:textFill>
            <w14:solidFill>
              <w14:schemeClr w14:val="tx1"/>
            </w14:solidFill>
          </w14:textFill>
        </w:rPr>
        <w:t>3.4主要事故类型及危害因素</w:t>
      </w:r>
      <w:bookmarkEnd w:id="56"/>
      <w:bookmarkEnd w:id="57"/>
    </w:p>
    <w:p>
      <w:pPr>
        <w:ind w:firstLine="560"/>
        <w:rPr>
          <w:color w:val="000000" w:themeColor="text1"/>
          <w14:textFill>
            <w14:solidFill>
              <w14:schemeClr w14:val="tx1"/>
            </w14:solidFill>
          </w14:textFill>
        </w:rPr>
      </w:pPr>
      <w:r>
        <w:rPr>
          <w:color w:val="000000" w:themeColor="text1"/>
          <w14:textFill>
            <w14:solidFill>
              <w14:schemeClr w14:val="tx1"/>
            </w14:solidFill>
          </w14:textFill>
        </w:rPr>
        <w:t>识别主要事故类型及危害因素的目的在于有针对性的进行尾矿库环境风险评价和分析，提高评价结果的针对性、可操作性和实用性。由于不同尾矿库事故类型、发生频率和事故后果的严重度不同，各事故的风险值不一样，相应的控制措施和管理手段也不相同。</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根据《云南安宁泰源工贸集团有限公司景洪分公司尾矿库环境风险评估报告》中</w:t>
      </w:r>
      <w:r>
        <w:rPr>
          <w:rFonts w:hint="eastAsia"/>
          <w:color w:val="000000" w:themeColor="text1"/>
          <w:lang w:val="zh-CN"/>
          <w14:textFill>
            <w14:solidFill>
              <w14:schemeClr w14:val="tx1"/>
            </w14:solidFill>
          </w14:textFill>
        </w:rPr>
        <w:t>尾矿库环境危害性和控制机制可靠性指标得分情况，得分大于</w:t>
      </w: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的指标是可能导致突发环境事件的危险因素，</w:t>
      </w:r>
      <w:r>
        <w:rPr>
          <w:rFonts w:hint="eastAsia"/>
          <w:color w:val="000000" w:themeColor="text1"/>
          <w14:textFill>
            <w14:solidFill>
              <w14:schemeClr w14:val="tx1"/>
            </w14:solidFill>
          </w14:textFill>
        </w:rPr>
        <w:t>具体见表3.4-1。</w:t>
      </w:r>
    </w:p>
    <w:p>
      <w:pPr>
        <w:spacing w:after="190" w:afterLines="50" w:line="240" w:lineRule="atLeast"/>
        <w:ind w:firstLine="562"/>
        <w:jc w:val="center"/>
        <w:rPr>
          <w:rFonts w:cs="Times New Roman"/>
          <w:b/>
          <w:color w:val="000000" w:themeColor="text1"/>
          <w:kern w:val="2"/>
          <w:szCs w:val="22"/>
          <w14:textFill>
            <w14:solidFill>
              <w14:schemeClr w14:val="tx1"/>
            </w14:solidFill>
          </w14:textFill>
        </w:rPr>
      </w:pPr>
      <w:r>
        <w:rPr>
          <w:rFonts w:hint="eastAsia" w:cs="Times New Roman"/>
          <w:b/>
          <w:color w:val="000000" w:themeColor="text1"/>
          <w:kern w:val="2"/>
          <w:sz w:val="24"/>
          <w:szCs w:val="21"/>
          <w14:textFill>
            <w14:solidFill>
              <w14:schemeClr w14:val="tx1"/>
            </w14:solidFill>
          </w14:textFill>
        </w:rPr>
        <w:t>表3</w:t>
      </w:r>
      <w:r>
        <w:rPr>
          <w:rFonts w:cs="Times New Roman"/>
          <w:b/>
          <w:color w:val="000000" w:themeColor="text1"/>
          <w:kern w:val="2"/>
          <w:sz w:val="24"/>
          <w:szCs w:val="21"/>
          <w14:textFill>
            <w14:solidFill>
              <w14:schemeClr w14:val="tx1"/>
            </w14:solidFill>
          </w14:textFill>
        </w:rPr>
        <w:t>.</w:t>
      </w:r>
      <w:r>
        <w:rPr>
          <w:rFonts w:hint="eastAsia" w:cs="Times New Roman"/>
          <w:b/>
          <w:color w:val="000000" w:themeColor="text1"/>
          <w:kern w:val="2"/>
          <w:sz w:val="24"/>
          <w:szCs w:val="21"/>
          <w14:textFill>
            <w14:solidFill>
              <w14:schemeClr w14:val="tx1"/>
            </w14:solidFill>
          </w14:textFill>
        </w:rPr>
        <w:t>4</w:t>
      </w:r>
      <w:r>
        <w:rPr>
          <w:rFonts w:cs="Times New Roman"/>
          <w:b/>
          <w:color w:val="000000" w:themeColor="text1"/>
          <w:kern w:val="2"/>
          <w:sz w:val="24"/>
          <w:szCs w:val="21"/>
          <w14:textFill>
            <w14:solidFill>
              <w14:schemeClr w14:val="tx1"/>
            </w14:solidFill>
          </w14:textFill>
        </w:rPr>
        <w:t>-</w:t>
      </w:r>
      <w:r>
        <w:rPr>
          <w:rFonts w:hint="eastAsia" w:cs="Times New Roman"/>
          <w:b/>
          <w:color w:val="000000" w:themeColor="text1"/>
          <w:kern w:val="2"/>
          <w:sz w:val="24"/>
          <w:szCs w:val="21"/>
          <w14:textFill>
            <w14:solidFill>
              <w14:schemeClr w14:val="tx1"/>
            </w14:solidFill>
          </w14:textFill>
        </w:rPr>
        <w:t>1尾矿库突发环境事件危险因素表</w:t>
      </w:r>
    </w:p>
    <w:tbl>
      <w:tblPr>
        <w:tblStyle w:val="31"/>
        <w:tblW w:w="8655" w:type="dxa"/>
        <w:tblInd w:w="131" w:type="dxa"/>
        <w:tblLayout w:type="fixed"/>
        <w:tblCellMar>
          <w:top w:w="0" w:type="dxa"/>
          <w:left w:w="0" w:type="dxa"/>
          <w:bottom w:w="0" w:type="dxa"/>
          <w:right w:w="0" w:type="dxa"/>
        </w:tblCellMar>
      </w:tblPr>
      <w:tblGrid>
        <w:gridCol w:w="1190"/>
        <w:gridCol w:w="6605"/>
        <w:gridCol w:w="860"/>
      </w:tblGrid>
      <w:tr>
        <w:tblPrEx>
          <w:tblCellMar>
            <w:top w:w="0" w:type="dxa"/>
            <w:left w:w="0" w:type="dxa"/>
            <w:bottom w:w="0" w:type="dxa"/>
            <w:right w:w="0" w:type="dxa"/>
          </w:tblCellMar>
        </w:tblPrEx>
        <w:trPr>
          <w:trHeight w:val="404" w:hRule="exact"/>
        </w:trPr>
        <w:tc>
          <w:tcPr>
            <w:tcW w:w="1190" w:type="dxa"/>
            <w:tcBorders>
              <w:top w:val="single" w:color="auto" w:sz="4" w:space="0"/>
              <w:left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b/>
                <w:bCs/>
                <w:color w:val="000000" w:themeColor="text1"/>
                <w:kern w:val="2"/>
                <w:sz w:val="24"/>
                <w:szCs w:val="24"/>
                <w14:textFill>
                  <w14:solidFill>
                    <w14:schemeClr w14:val="tx1"/>
                  </w14:solidFill>
                </w14:textFill>
              </w:rPr>
              <w:t>类型</w:t>
            </w: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b/>
                <w:bCs/>
                <w:color w:val="000000" w:themeColor="text1"/>
                <w:kern w:val="2"/>
                <w:sz w:val="24"/>
                <w:szCs w:val="24"/>
                <w14:textFill>
                  <w14:solidFill>
                    <w14:schemeClr w14:val="tx1"/>
                  </w14:solidFill>
                </w14:textFill>
              </w:rPr>
              <w:t>指标</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b/>
                <w:bCs/>
                <w:color w:val="000000" w:themeColor="text1"/>
                <w:kern w:val="2"/>
                <w:sz w:val="24"/>
                <w:szCs w:val="24"/>
                <w14:textFill>
                  <w14:solidFill>
                    <w14:schemeClr w14:val="tx1"/>
                  </w14:solidFill>
                </w14:textFill>
              </w:rPr>
              <w:t>评分</w:t>
            </w:r>
          </w:p>
        </w:tc>
      </w:tr>
      <w:tr>
        <w:tblPrEx>
          <w:tblCellMar>
            <w:top w:w="0" w:type="dxa"/>
            <w:left w:w="0" w:type="dxa"/>
            <w:bottom w:w="0" w:type="dxa"/>
            <w:right w:w="0" w:type="dxa"/>
          </w:tblCellMar>
        </w:tblPrEx>
        <w:trPr>
          <w:trHeight w:val="404" w:hRule="exact"/>
        </w:trPr>
        <w:tc>
          <w:tcPr>
            <w:tcW w:w="1190" w:type="dxa"/>
            <w:vMerge w:val="restart"/>
            <w:tcBorders>
              <w:top w:val="single" w:color="auto" w:sz="4" w:space="0"/>
              <w:left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环境危害性（H）</w:t>
            </w: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特征污染物指标浓度，指标最高浓度</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14</w:t>
            </w:r>
          </w:p>
        </w:tc>
      </w:tr>
      <w:tr>
        <w:tblPrEx>
          <w:tblCellMar>
            <w:top w:w="0" w:type="dxa"/>
            <w:left w:w="0" w:type="dxa"/>
            <w:bottom w:w="0" w:type="dxa"/>
            <w:right w:w="0" w:type="dxa"/>
          </w:tblCellMar>
        </w:tblPrEx>
        <w:trPr>
          <w:trHeight w:val="404" w:hRule="exact"/>
        </w:trPr>
        <w:tc>
          <w:tcPr>
            <w:tcW w:w="1190" w:type="dxa"/>
            <w:vMerge w:val="continue"/>
            <w:tcBorders>
              <w:left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特征污染物指标浓度，浓度倍数3倍及以上指标项数</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2</w:t>
            </w:r>
          </w:p>
        </w:tc>
      </w:tr>
      <w:tr>
        <w:tblPrEx>
          <w:tblCellMar>
            <w:top w:w="0" w:type="dxa"/>
            <w:left w:w="0" w:type="dxa"/>
            <w:bottom w:w="0" w:type="dxa"/>
            <w:right w:w="0" w:type="dxa"/>
          </w:tblCellMar>
        </w:tblPrEx>
        <w:trPr>
          <w:trHeight w:val="404" w:hRule="exact"/>
        </w:trPr>
        <w:tc>
          <w:tcPr>
            <w:tcW w:w="1190" w:type="dxa"/>
            <w:vMerge w:val="continue"/>
            <w:tcBorders>
              <w:left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现状库容</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6</w:t>
            </w:r>
          </w:p>
        </w:tc>
      </w:tr>
      <w:tr>
        <w:tblPrEx>
          <w:tblCellMar>
            <w:top w:w="0" w:type="dxa"/>
            <w:left w:w="0" w:type="dxa"/>
            <w:bottom w:w="0" w:type="dxa"/>
            <w:right w:w="0" w:type="dxa"/>
          </w:tblCellMar>
        </w:tblPrEx>
        <w:trPr>
          <w:trHeight w:val="404" w:hRule="exact"/>
        </w:trPr>
        <w:tc>
          <w:tcPr>
            <w:tcW w:w="1190" w:type="dxa"/>
            <w:vMerge w:val="restart"/>
            <w:tcBorders>
              <w:top w:val="single" w:color="auto" w:sz="4" w:space="0"/>
              <w:left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控制机制可靠性（R）</w:t>
            </w: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湿法堆存。</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1</w:t>
            </w:r>
          </w:p>
        </w:tc>
      </w:tr>
      <w:tr>
        <w:tblPrEx>
          <w:tblCellMar>
            <w:top w:w="0" w:type="dxa"/>
            <w:left w:w="0" w:type="dxa"/>
            <w:bottom w:w="0" w:type="dxa"/>
            <w:right w:w="0" w:type="dxa"/>
          </w:tblCellMar>
        </w:tblPrEx>
        <w:trPr>
          <w:trHeight w:val="437" w:hRule="exact"/>
        </w:trPr>
        <w:tc>
          <w:tcPr>
            <w:tcW w:w="1190" w:type="dxa"/>
            <w:vMerge w:val="continue"/>
            <w:tcBorders>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透水坝，但有渗滤液收集设施。</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1</w:t>
            </w:r>
          </w:p>
        </w:tc>
      </w:tr>
      <w:tr>
        <w:tblPrEx>
          <w:tblCellMar>
            <w:top w:w="0" w:type="dxa"/>
            <w:left w:w="0" w:type="dxa"/>
            <w:bottom w:w="0" w:type="dxa"/>
            <w:right w:w="0" w:type="dxa"/>
          </w:tblCellMar>
        </w:tblPrEx>
        <w:trPr>
          <w:trHeight w:val="404" w:hRule="exact"/>
        </w:trPr>
        <w:tc>
          <w:tcPr>
            <w:tcW w:w="1190" w:type="dxa"/>
            <w:vMerge w:val="restart"/>
            <w:tcBorders>
              <w:top w:val="single" w:color="auto" w:sz="4" w:space="0"/>
              <w:left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sz w:val="24"/>
                <w:szCs w:val="24"/>
                <w:lang w:eastAsia="en-US"/>
                <w14:textFill>
                  <w14:solidFill>
                    <w14:schemeClr w14:val="tx1"/>
                  </w14:solidFill>
                </w14:textFill>
              </w:rPr>
              <w:t>控制机制可靠性（R）</w:t>
            </w: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尾矿输送：管道输送+</w:t>
            </w:r>
            <w:r>
              <w:rPr>
                <w:rFonts w:hint="eastAsia" w:cs="仿宋"/>
                <w:color w:val="000000" w:themeColor="text1"/>
                <w:kern w:val="2"/>
                <w:sz w:val="24"/>
                <w:szCs w:val="24"/>
                <w14:textFill>
                  <w14:solidFill>
                    <w14:schemeClr w14:val="tx1"/>
                  </w14:solidFill>
                </w14:textFill>
              </w:rPr>
              <w:t>泵站加压</w:t>
            </w:r>
            <w:r>
              <w:rPr>
                <w:rFonts w:cs="仿宋"/>
                <w:color w:val="000000" w:themeColor="text1"/>
                <w:kern w:val="2"/>
                <w:sz w:val="24"/>
                <w:szCs w:val="24"/>
                <w14:textFill>
                  <w14:solidFill>
                    <w14:schemeClr w14:val="tx1"/>
                  </w14:solidFill>
                </w14:textFill>
              </w:rPr>
              <w:t>。</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1</w:t>
            </w:r>
          </w:p>
        </w:tc>
      </w:tr>
      <w:tr>
        <w:tblPrEx>
          <w:tblCellMar>
            <w:top w:w="0" w:type="dxa"/>
            <w:left w:w="0" w:type="dxa"/>
            <w:bottom w:w="0" w:type="dxa"/>
            <w:right w:w="0" w:type="dxa"/>
          </w:tblCellMar>
        </w:tblPrEx>
        <w:trPr>
          <w:trHeight w:val="404"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库内排洪设施:有，</w:t>
            </w:r>
            <w:r>
              <w:rPr>
                <w:rFonts w:hint="eastAsia" w:cs="Times New Roman"/>
                <w:color w:val="000000" w:themeColor="text1"/>
                <w:kern w:val="2"/>
                <w:sz w:val="24"/>
                <w:szCs w:val="24"/>
                <w14:textFill>
                  <w14:solidFill>
                    <w14:schemeClr w14:val="tx1"/>
                  </w14:solidFill>
                </w14:textFill>
              </w:rPr>
              <w:t>作为日常尾矿水排放或回水通道</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1</w:t>
            </w:r>
          </w:p>
        </w:tc>
      </w:tr>
      <w:tr>
        <w:tblPrEx>
          <w:tblCellMar>
            <w:top w:w="0" w:type="dxa"/>
            <w:left w:w="0" w:type="dxa"/>
            <w:bottom w:w="0" w:type="dxa"/>
            <w:right w:w="0" w:type="dxa"/>
          </w:tblCellMar>
        </w:tblPrEx>
        <w:trPr>
          <w:trHeight w:val="387"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是否通过</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三同时</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验收</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8</w:t>
            </w:r>
          </w:p>
        </w:tc>
      </w:tr>
      <w:tr>
        <w:tblPrEx>
          <w:tblCellMar>
            <w:top w:w="0" w:type="dxa"/>
            <w:left w:w="0" w:type="dxa"/>
            <w:bottom w:w="0" w:type="dxa"/>
            <w:right w:w="0" w:type="dxa"/>
          </w:tblCellMar>
        </w:tblPrEx>
        <w:trPr>
          <w:trHeight w:val="387"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未按照要求对地下水井开展定期监测。</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2</w:t>
            </w:r>
          </w:p>
        </w:tc>
      </w:tr>
      <w:tr>
        <w:tblPrEx>
          <w:tblCellMar>
            <w:top w:w="0" w:type="dxa"/>
            <w:left w:w="0" w:type="dxa"/>
            <w:bottom w:w="0" w:type="dxa"/>
            <w:right w:w="0" w:type="dxa"/>
          </w:tblCellMar>
        </w:tblPrEx>
        <w:trPr>
          <w:trHeight w:val="437"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干滩区域未建设洒水降尘等措施。</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1.5</w:t>
            </w:r>
          </w:p>
        </w:tc>
      </w:tr>
      <w:tr>
        <w:tblPrEx>
          <w:tblCellMar>
            <w:top w:w="0" w:type="dxa"/>
            <w:left w:w="0" w:type="dxa"/>
            <w:bottom w:w="0" w:type="dxa"/>
            <w:right w:w="0" w:type="dxa"/>
          </w:tblCellMar>
        </w:tblPrEx>
        <w:trPr>
          <w:trHeight w:val="1272"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环境应急预案执行不完备，无尾矿库专项环境应急预案，企业突发环境事件应急预案中包含尾矿库内容，但预案针对性和操作性不强。</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7</w:t>
            </w:r>
          </w:p>
        </w:tc>
      </w:tr>
      <w:tr>
        <w:tblPrEx>
          <w:tblCellMar>
            <w:top w:w="0" w:type="dxa"/>
            <w:left w:w="0" w:type="dxa"/>
            <w:bottom w:w="0" w:type="dxa"/>
            <w:right w:w="0" w:type="dxa"/>
          </w:tblCellMar>
        </w:tblPrEx>
        <w:trPr>
          <w:trHeight w:val="491"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w:t>
            </w:r>
            <w:r>
              <w:rPr>
                <w:rFonts w:hint="eastAsia" w:cs="Times New Roman"/>
                <w:color w:val="000000" w:themeColor="text1"/>
                <w:kern w:val="2"/>
                <w:sz w:val="24"/>
                <w:szCs w:val="24"/>
                <w14:textFill>
                  <w14:solidFill>
                    <w14:schemeClr w14:val="tx1"/>
                  </w14:solidFill>
                </w14:textFill>
              </w:rPr>
              <w:t>未</w:t>
            </w:r>
            <w:r>
              <w:rPr>
                <w:rFonts w:cs="Times New Roman"/>
                <w:color w:val="000000" w:themeColor="text1"/>
                <w:kern w:val="2"/>
                <w:sz w:val="24"/>
                <w:szCs w:val="24"/>
                <w14:textFill>
                  <w14:solidFill>
                    <w14:schemeClr w14:val="tx1"/>
                  </w14:solidFill>
                </w14:textFill>
              </w:rPr>
              <w:t>编制应急预案</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hint="eastAsia" w:cs="仿宋"/>
                <w:color w:val="000000" w:themeColor="text1"/>
                <w:kern w:val="2"/>
                <w:sz w:val="24"/>
                <w:szCs w:val="24"/>
                <w14:textFill>
                  <w14:solidFill>
                    <w14:schemeClr w14:val="tx1"/>
                  </w14:solidFill>
                </w14:textFill>
              </w:rPr>
              <w:t>6.5</w:t>
            </w:r>
          </w:p>
        </w:tc>
      </w:tr>
      <w:tr>
        <w:tblPrEx>
          <w:tblCellMar>
            <w:top w:w="0" w:type="dxa"/>
            <w:left w:w="0" w:type="dxa"/>
            <w:bottom w:w="0" w:type="dxa"/>
            <w:right w:w="0" w:type="dxa"/>
          </w:tblCellMar>
        </w:tblPrEx>
        <w:trPr>
          <w:trHeight w:val="471"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环境应急资源不符合应急预案相关要求。</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1</w:t>
            </w:r>
          </w:p>
        </w:tc>
      </w:tr>
      <w:tr>
        <w:tblPrEx>
          <w:tblCellMar>
            <w:top w:w="0" w:type="dxa"/>
            <w:left w:w="0" w:type="dxa"/>
            <w:bottom w:w="0" w:type="dxa"/>
            <w:right w:w="0" w:type="dxa"/>
          </w:tblCellMar>
        </w:tblPrEx>
        <w:trPr>
          <w:trHeight w:val="417"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没有相关台账、监测方案。</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2</w:t>
            </w:r>
          </w:p>
        </w:tc>
      </w:tr>
      <w:tr>
        <w:tblPrEx>
          <w:tblCellMar>
            <w:top w:w="0" w:type="dxa"/>
            <w:left w:w="0" w:type="dxa"/>
            <w:bottom w:w="0" w:type="dxa"/>
            <w:right w:w="0" w:type="dxa"/>
          </w:tblCellMar>
        </w:tblPrEx>
        <w:trPr>
          <w:trHeight w:val="586" w:hRule="exact"/>
        </w:trPr>
        <w:tc>
          <w:tcPr>
            <w:tcW w:w="1190" w:type="dxa"/>
            <w:vMerge w:val="continue"/>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p>
        </w:tc>
        <w:tc>
          <w:tcPr>
            <w:tcW w:w="6605"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仅有环境安全隐患排查表，无治理计划表和排查治理工作方案。</w:t>
            </w:r>
          </w:p>
        </w:tc>
        <w:tc>
          <w:tcPr>
            <w:tcW w:w="860" w:type="dxa"/>
            <w:tcBorders>
              <w:top w:val="single" w:color="auto" w:sz="4" w:space="0"/>
              <w:left w:val="single" w:color="auto" w:sz="4" w:space="0"/>
              <w:bottom w:val="single" w:color="auto" w:sz="4" w:space="0"/>
              <w:right w:val="single" w:color="auto" w:sz="4" w:space="0"/>
            </w:tcBorders>
            <w:vAlign w:val="center"/>
          </w:tcPr>
          <w:p>
            <w:pPr>
              <w:tabs>
                <w:tab w:val="right" w:leader="dot" w:pos="8296"/>
              </w:tabs>
              <w:snapToGrid w:val="0"/>
              <w:spacing w:line="240" w:lineRule="auto"/>
              <w:ind w:firstLine="0" w:firstLineChars="0"/>
              <w:jc w:val="center"/>
              <w:rPr>
                <w:rFonts w:cs="仿宋"/>
                <w:color w:val="000000" w:themeColor="text1"/>
                <w:kern w:val="2"/>
                <w:sz w:val="24"/>
                <w:szCs w:val="24"/>
                <w14:textFill>
                  <w14:solidFill>
                    <w14:schemeClr w14:val="tx1"/>
                  </w14:solidFill>
                </w14:textFill>
              </w:rPr>
            </w:pPr>
            <w:r>
              <w:rPr>
                <w:rFonts w:cs="仿宋"/>
                <w:color w:val="000000" w:themeColor="text1"/>
                <w:kern w:val="2"/>
                <w:sz w:val="24"/>
                <w:szCs w:val="24"/>
                <w14:textFill>
                  <w14:solidFill>
                    <w14:schemeClr w14:val="tx1"/>
                  </w14:solidFill>
                </w14:textFill>
              </w:rPr>
              <w:t>2</w:t>
            </w:r>
          </w:p>
        </w:tc>
      </w:tr>
    </w:tbl>
    <w:p>
      <w:pPr>
        <w:pStyle w:val="18"/>
        <w:rPr>
          <w:color w:val="000000" w:themeColor="text1"/>
          <w14:textFill>
            <w14:solidFill>
              <w14:schemeClr w14:val="tx1"/>
            </w14:solidFill>
          </w14:textFill>
        </w:rPr>
      </w:pPr>
      <w:bookmarkStart w:id="58" w:name="_Toc43143181"/>
      <w:bookmarkStart w:id="59" w:name="_Toc1172"/>
      <w:r>
        <w:rPr>
          <w:color w:val="000000" w:themeColor="text1"/>
          <w14:textFill>
            <w14:solidFill>
              <w14:schemeClr w14:val="tx1"/>
            </w14:solidFill>
          </w14:textFill>
        </w:rPr>
        <w:t>3.5尾矿库突发环境事件</w:t>
      </w:r>
      <w:r>
        <w:rPr>
          <w:rFonts w:hint="eastAsia"/>
          <w:color w:val="000000" w:themeColor="text1"/>
          <w14:textFill>
            <w14:solidFill>
              <w14:schemeClr w14:val="tx1"/>
            </w14:solidFill>
          </w14:textFill>
        </w:rPr>
        <w:t>情景</w:t>
      </w:r>
      <w:r>
        <w:rPr>
          <w:color w:val="000000" w:themeColor="text1"/>
          <w14:textFill>
            <w14:solidFill>
              <w14:schemeClr w14:val="tx1"/>
            </w14:solidFill>
          </w14:textFill>
        </w:rPr>
        <w:t>分析</w:t>
      </w:r>
      <w:bookmarkEnd w:id="58"/>
      <w:bookmarkEnd w:id="59"/>
    </w:p>
    <w:p>
      <w:pPr>
        <w:ind w:firstLine="560"/>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根据尾矿库各类突发环境事件危险因素，尾矿库可能发生的突发环境事件情景主要包括：尾矿外泄、尾矿水超标外排、尾矿库渗滤液溢出外排、尾矿输送管线泄漏、回水管线泄漏、尾矿库渗漏、尾矿库扬尘影响、</w:t>
      </w:r>
      <w:r>
        <w:rPr>
          <w:rFonts w:hint="eastAsia"/>
          <w:color w:val="000000" w:themeColor="text1"/>
          <w14:textFill>
            <w14:solidFill>
              <w14:schemeClr w14:val="tx1"/>
            </w14:solidFill>
          </w14:textFill>
        </w:rPr>
        <w:t>溃坝</w:t>
      </w:r>
      <w:r>
        <w:rPr>
          <w:rFonts w:hint="eastAsia"/>
          <w:color w:val="000000" w:themeColor="text1"/>
          <w:lang w:val="zh-CN"/>
          <w14:textFill>
            <w14:solidFill>
              <w14:schemeClr w14:val="tx1"/>
            </w14:solidFill>
          </w14:textFill>
        </w:rPr>
        <w:t>等，造成污染物进入外环境。</w:t>
      </w:r>
      <w:r>
        <w:rPr>
          <w:rFonts w:hint="eastAsia"/>
          <w:color w:val="000000" w:themeColor="text1"/>
          <w14:textFill>
            <w14:solidFill>
              <w14:schemeClr w14:val="tx1"/>
            </w14:solidFill>
          </w14:textFill>
        </w:rPr>
        <w:t>对于尾矿库突发环境事件情景分析，需结合尾矿库实际情况和特征污染物的特性进行具体分析。</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本示例项目云南安宁泰源工贸集团有限公司景洪分公司尾矿库突发环境事件情景分析如下：</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（一）</w:t>
      </w:r>
      <w:r>
        <w:rPr>
          <w:b/>
          <w:bCs/>
          <w:color w:val="000000" w:themeColor="text1"/>
          <w14:textFill>
            <w14:solidFill>
              <w14:schemeClr w14:val="tx1"/>
            </w14:solidFill>
          </w14:textFill>
        </w:rPr>
        <w:t>尾矿砂浆外泄</w:t>
      </w:r>
      <w:r>
        <w:rPr>
          <w:rFonts w:hint="eastAsia"/>
          <w:b/>
          <w:bCs/>
          <w:color w:val="000000" w:themeColor="text1"/>
          <w14:textFill>
            <w14:solidFill>
              <w14:schemeClr w14:val="tx1"/>
            </w14:solidFill>
          </w14:textFill>
        </w:rPr>
        <w:t>情景</w:t>
      </w:r>
      <w:r>
        <w:rPr>
          <w:b/>
          <w:bCs/>
          <w:color w:val="000000" w:themeColor="text1"/>
          <w14:textFill>
            <w14:solidFill>
              <w14:schemeClr w14:val="tx1"/>
            </w14:solidFill>
          </w14:textFill>
        </w:rPr>
        <w:t>分析</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尾矿砂浆外泄主要是由于管涌、裂缝等坝体损坏现象，排水系统堵塞或坍塌，旧排水系统坍塌等，造成的后果是不同量的尾矿砂浆外泄。</w:t>
      </w:r>
      <w:r>
        <w:rPr>
          <w:color w:val="000000" w:themeColor="text1"/>
          <w14:textFill>
            <w14:solidFill>
              <w14:schemeClr w14:val="tx1"/>
            </w14:solidFill>
          </w14:textFill>
        </w:rPr>
        <w:t>若</w:t>
      </w:r>
      <w:r>
        <w:rPr>
          <w:rFonts w:hint="eastAsia"/>
          <w:color w:val="000000" w:themeColor="text1"/>
          <w14:textFill>
            <w14:solidFill>
              <w14:schemeClr w14:val="tx1"/>
            </w14:solidFill>
          </w14:textFill>
        </w:rPr>
        <w:t>发生尾矿砂浆外泄，</w:t>
      </w:r>
      <w:r>
        <w:rPr>
          <w:color w:val="000000" w:themeColor="text1"/>
          <w14:textFill>
            <w14:solidFill>
              <w14:schemeClr w14:val="tx1"/>
            </w14:solidFill>
          </w14:textFill>
        </w:rPr>
        <w:t>尾矿浆</w:t>
      </w:r>
      <w:r>
        <w:rPr>
          <w:rFonts w:hint="eastAsia"/>
          <w:color w:val="000000" w:themeColor="text1"/>
          <w14:textFill>
            <w14:solidFill>
              <w14:schemeClr w14:val="tx1"/>
            </w14:solidFill>
          </w14:textFill>
        </w:rPr>
        <w:t>可能</w:t>
      </w:r>
      <w:r>
        <w:rPr>
          <w:color w:val="000000" w:themeColor="text1"/>
          <w14:textFill>
            <w14:solidFill>
              <w14:schemeClr w14:val="tx1"/>
            </w14:solidFill>
          </w14:textFill>
        </w:rPr>
        <w:t>随地形向下游流动，进入农户农田造成农田板结、农作物死亡；</w:t>
      </w:r>
      <w:r>
        <w:rPr>
          <w:rFonts w:hint="eastAsia"/>
          <w:color w:val="000000" w:themeColor="text1"/>
          <w14:textFill>
            <w14:solidFill>
              <w14:schemeClr w14:val="tx1"/>
            </w14:solidFill>
          </w14:textFill>
        </w:rPr>
        <w:t>进入南坎河将对其水体造成污染</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若</w:t>
      </w:r>
      <w:r>
        <w:rPr>
          <w:color w:val="000000" w:themeColor="text1"/>
          <w14:textFill>
            <w14:solidFill>
              <w14:schemeClr w14:val="tx1"/>
            </w14:solidFill>
          </w14:textFill>
        </w:rPr>
        <w:t>在河道内沉积，</w:t>
      </w:r>
      <w:r>
        <w:rPr>
          <w:rFonts w:hint="eastAsia"/>
          <w:color w:val="000000" w:themeColor="text1"/>
          <w14:textFill>
            <w14:solidFill>
              <w14:schemeClr w14:val="tx1"/>
            </w14:solidFill>
          </w14:textFill>
        </w:rPr>
        <w:t>将</w:t>
      </w:r>
      <w:r>
        <w:rPr>
          <w:color w:val="000000" w:themeColor="text1"/>
          <w14:textFill>
            <w14:solidFill>
              <w14:schemeClr w14:val="tx1"/>
            </w14:solidFill>
          </w14:textFill>
        </w:rPr>
        <w:t>影响水生生物的生长；</w:t>
      </w:r>
      <w:r>
        <w:rPr>
          <w:rFonts w:hint="eastAsia"/>
          <w:color w:val="000000" w:themeColor="text1"/>
          <w14:textFill>
            <w14:solidFill>
              <w14:schemeClr w14:val="tx1"/>
            </w14:solidFill>
          </w14:textFill>
        </w:rPr>
        <w:t>渗入到地下</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将对</w:t>
      </w:r>
      <w:r>
        <w:rPr>
          <w:color w:val="000000" w:themeColor="text1"/>
          <w14:textFill>
            <w14:solidFill>
              <w14:schemeClr w14:val="tx1"/>
            </w14:solidFill>
          </w14:textFill>
        </w:rPr>
        <w:t>地下水</w:t>
      </w:r>
      <w:r>
        <w:rPr>
          <w:rFonts w:hint="eastAsia"/>
          <w:color w:val="000000" w:themeColor="text1"/>
          <w14:textFill>
            <w14:solidFill>
              <w14:schemeClr w14:val="tx1"/>
            </w14:solidFill>
          </w14:textFill>
        </w:rPr>
        <w:t>造成影响</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rFonts w:hint="eastAsia"/>
          <w:color w:val="000000" w:themeColor="text1"/>
          <w:lang w:val="zh-CN"/>
          <w14:textFill>
            <w14:solidFill>
              <w14:schemeClr w14:val="tx1"/>
            </w14:solidFill>
          </w14:textFill>
        </w:rPr>
        <w:t>尾矿库初期坝为透水堆石坝，正常运行情况下坝体较为稳定，尾矿存储在库内不会发生外泄。</w:t>
      </w: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现有</w:t>
      </w:r>
      <w:r>
        <w:rPr>
          <w:color w:val="000000" w:themeColor="text1"/>
          <w14:textFill>
            <w14:solidFill>
              <w14:schemeClr w14:val="tx1"/>
            </w14:solidFill>
          </w14:textFill>
        </w:rPr>
        <w:t>验收监测报告，</w:t>
      </w:r>
      <w:r>
        <w:rPr>
          <w:rFonts w:hint="eastAsia"/>
          <w:color w:val="000000" w:themeColor="text1"/>
          <w14:textFill>
            <w14:solidFill>
              <w14:schemeClr w14:val="tx1"/>
            </w14:solidFill>
          </w14:textFill>
        </w:rPr>
        <w:t>云南安宁泰源工贸集团有限公司景洪分公司尾矿库尾矿砂属于第Ⅰ类一般工业固体废物。</w:t>
      </w:r>
      <w:r>
        <w:rPr>
          <w:rFonts w:hint="eastAsia"/>
          <w:color w:val="000000" w:themeColor="text1"/>
          <w:lang w:val="zh-CN"/>
          <w14:textFill>
            <w14:solidFill>
              <w14:schemeClr w14:val="tx1"/>
            </w14:solidFill>
          </w14:textFill>
        </w:rPr>
        <w:t>根据《地表水环境质量标准》（</w:t>
      </w:r>
      <w:r>
        <w:rPr>
          <w:color w:val="000000" w:themeColor="text1"/>
          <w:lang w:val="zh-CN"/>
          <w14:textFill>
            <w14:solidFill>
              <w14:schemeClr w14:val="tx1"/>
            </w14:solidFill>
          </w14:textFill>
        </w:rPr>
        <w:t xml:space="preserve">GB </w:t>
      </w:r>
      <w:r>
        <w:rPr>
          <w:rFonts w:hint="eastAsia"/>
          <w:color w:val="000000" w:themeColor="text1"/>
          <w14:textFill>
            <w14:solidFill>
              <w14:schemeClr w14:val="tx1"/>
            </w14:solidFill>
          </w14:textFill>
        </w:rPr>
        <w:t>3838</w:t>
      </w:r>
      <w:r>
        <w:rPr>
          <w:color w:val="000000" w:themeColor="text1"/>
          <w:lang w:val="zh-CN"/>
          <w14:textFill>
            <w14:solidFill>
              <w14:schemeClr w14:val="tx1"/>
            </w14:solidFill>
          </w14:textFill>
        </w:rPr>
        <w:t>-2</w:t>
      </w:r>
      <w:r>
        <w:rPr>
          <w:rFonts w:hint="eastAsia"/>
          <w:color w:val="000000" w:themeColor="text1"/>
          <w14:textFill>
            <w14:solidFill>
              <w14:schemeClr w14:val="tx1"/>
            </w14:solidFill>
          </w14:textFill>
        </w:rPr>
        <w:t>002</w:t>
      </w:r>
      <w:r>
        <w:rPr>
          <w:rFonts w:hint="eastAsia"/>
          <w:color w:val="000000" w:themeColor="text1"/>
          <w:lang w:val="zh-CN"/>
          <w14:textFill>
            <w14:solidFill>
              <w14:schemeClr w14:val="tx1"/>
            </w14:solidFill>
          </w14:textFill>
        </w:rPr>
        <w:t>）Ⅲ类水质标准及参照《污水综合排放标准》（</w:t>
      </w:r>
      <w:r>
        <w:rPr>
          <w:color w:val="000000" w:themeColor="text1"/>
          <w:lang w:val="zh-CN"/>
          <w14:textFill>
            <w14:solidFill>
              <w14:schemeClr w14:val="tx1"/>
            </w14:solidFill>
          </w14:textFill>
        </w:rPr>
        <w:t>GB 8978-1996</w:t>
      </w:r>
      <w:r>
        <w:rPr>
          <w:rFonts w:hint="eastAsia"/>
          <w:color w:val="000000" w:themeColor="text1"/>
          <w:lang w:val="zh-CN"/>
          <w14:textFill>
            <w14:solidFill>
              <w14:schemeClr w14:val="tx1"/>
            </w14:solidFill>
          </w14:textFill>
        </w:rPr>
        <w:t>）表</w:t>
      </w: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和表</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中的一级标准考核，</w:t>
      </w:r>
      <w:r>
        <w:rPr>
          <w:rFonts w:hint="eastAsia"/>
          <w:color w:val="000000" w:themeColor="text1"/>
          <w14:textFill>
            <w14:solidFill>
              <w14:schemeClr w14:val="tx1"/>
            </w14:solidFill>
          </w14:textFill>
        </w:rPr>
        <w:t>云南安宁泰源工贸集团有限公司景洪分公司尾矿库</w:t>
      </w:r>
      <w:r>
        <w:rPr>
          <w:rFonts w:hint="eastAsia"/>
          <w:color w:val="000000" w:themeColor="text1"/>
          <w:lang w:val="zh-CN"/>
          <w14:textFill>
            <w14:solidFill>
              <w14:schemeClr w14:val="tx1"/>
            </w14:solidFill>
          </w14:textFill>
        </w:rPr>
        <w:t>尾矿</w:t>
      </w:r>
      <w:r>
        <w:rPr>
          <w:rFonts w:hint="eastAsia"/>
          <w:color w:val="000000" w:themeColor="text1"/>
          <w14:textFill>
            <w14:solidFill>
              <w14:schemeClr w14:val="tx1"/>
            </w14:solidFill>
          </w14:textFill>
        </w:rPr>
        <w:t>废水</w:t>
      </w:r>
      <w:r>
        <w:rPr>
          <w:rFonts w:hint="eastAsia"/>
          <w:color w:val="000000" w:themeColor="text1"/>
          <w:lang w:val="zh-CN"/>
          <w14:textFill>
            <w14:solidFill>
              <w14:schemeClr w14:val="tx1"/>
            </w14:solidFill>
          </w14:textFill>
        </w:rPr>
        <w:t>水质均</w:t>
      </w:r>
      <w:r>
        <w:rPr>
          <w:rFonts w:hint="eastAsia"/>
          <w:color w:val="000000" w:themeColor="text1"/>
          <w14:textFill>
            <w14:solidFill>
              <w14:schemeClr w14:val="tx1"/>
            </w14:solidFill>
          </w14:textFill>
        </w:rPr>
        <w:t>能</w:t>
      </w:r>
      <w:r>
        <w:rPr>
          <w:rFonts w:hint="eastAsia"/>
          <w:color w:val="000000" w:themeColor="text1"/>
          <w:lang w:val="zh-CN"/>
          <w14:textFill>
            <w14:solidFill>
              <w14:schemeClr w14:val="tx1"/>
            </w14:solidFill>
          </w14:textFill>
        </w:rPr>
        <w:t>达到相应标准限值。综合上述分析，当发生尾矿砂浆外泄</w:t>
      </w:r>
      <w:r>
        <w:rPr>
          <w:rFonts w:hint="eastAsia"/>
          <w:color w:val="000000" w:themeColor="text1"/>
          <w14:textFill>
            <w14:solidFill>
              <w14:schemeClr w14:val="tx1"/>
            </w14:solidFill>
          </w14:textFill>
        </w:rPr>
        <w:t>且</w:t>
      </w:r>
      <w:r>
        <w:rPr>
          <w:rFonts w:hint="eastAsia"/>
          <w:color w:val="000000" w:themeColor="text1"/>
          <w:lang w:val="zh-CN"/>
          <w14:textFill>
            <w14:solidFill>
              <w14:schemeClr w14:val="tx1"/>
            </w14:solidFill>
          </w14:textFill>
        </w:rPr>
        <w:t>进入</w:t>
      </w:r>
      <w:r>
        <w:rPr>
          <w:rFonts w:hint="eastAsia"/>
          <w:color w:val="000000" w:themeColor="text1"/>
          <w14:textFill>
            <w14:solidFill>
              <w14:schemeClr w14:val="tx1"/>
            </w14:solidFill>
          </w14:textFill>
        </w:rPr>
        <w:t>南坎河</w:t>
      </w:r>
      <w:r>
        <w:rPr>
          <w:rFonts w:hint="eastAsia"/>
          <w:color w:val="000000" w:themeColor="text1"/>
          <w:lang w:val="zh-CN"/>
          <w14:textFill>
            <w14:solidFill>
              <w14:schemeClr w14:val="tx1"/>
            </w14:solidFill>
          </w14:textFill>
        </w:rPr>
        <w:t>时，</w:t>
      </w:r>
      <w:r>
        <w:rPr>
          <w:rFonts w:hint="eastAsia"/>
          <w:color w:val="000000" w:themeColor="text1"/>
          <w14:textFill>
            <w14:solidFill>
              <w14:schemeClr w14:val="tx1"/>
            </w14:solidFill>
          </w14:textFill>
        </w:rPr>
        <w:t>可能</w:t>
      </w:r>
      <w:r>
        <w:rPr>
          <w:rFonts w:hint="eastAsia"/>
          <w:color w:val="000000" w:themeColor="text1"/>
          <w:lang w:val="zh-CN"/>
          <w14:textFill>
            <w14:solidFill>
              <w14:schemeClr w14:val="tx1"/>
            </w14:solidFill>
          </w14:textFill>
        </w:rPr>
        <w:t>会造成</w:t>
      </w:r>
      <w:r>
        <w:rPr>
          <w:rFonts w:hint="eastAsia"/>
          <w:color w:val="000000" w:themeColor="text1"/>
          <w14:textFill>
            <w14:solidFill>
              <w14:schemeClr w14:val="tx1"/>
            </w14:solidFill>
          </w14:textFill>
        </w:rPr>
        <w:t>南坎河</w:t>
      </w:r>
      <w:r>
        <w:rPr>
          <w:rFonts w:hint="eastAsia"/>
          <w:color w:val="000000" w:themeColor="text1"/>
          <w:lang w:val="zh-CN"/>
          <w14:textFill>
            <w14:solidFill>
              <w14:schemeClr w14:val="tx1"/>
            </w14:solidFill>
          </w14:textFill>
        </w:rPr>
        <w:t>中</w:t>
      </w:r>
      <w:r>
        <w:rPr>
          <w:color w:val="000000" w:themeColor="text1"/>
          <w:lang w:val="zh-CN"/>
          <w14:textFill>
            <w14:solidFill>
              <w14:schemeClr w14:val="tx1"/>
            </w14:solidFill>
          </w14:textFill>
        </w:rPr>
        <w:t>SS</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COD</w:t>
      </w:r>
      <w:r>
        <w:rPr>
          <w:rFonts w:hint="eastAsia"/>
          <w:color w:val="000000" w:themeColor="text1"/>
          <w14:textFill>
            <w14:solidFill>
              <w14:schemeClr w14:val="tx1"/>
            </w14:solidFill>
          </w14:textFill>
        </w:rPr>
        <w:t>等</w:t>
      </w:r>
      <w:r>
        <w:rPr>
          <w:rFonts w:hint="eastAsia"/>
          <w:color w:val="000000" w:themeColor="text1"/>
          <w:lang w:val="zh-CN"/>
          <w14:textFill>
            <w14:solidFill>
              <w14:schemeClr w14:val="tx1"/>
            </w14:solidFill>
          </w14:textFill>
        </w:rPr>
        <w:t>超标，应在</w:t>
      </w:r>
      <w:r>
        <w:rPr>
          <w:rFonts w:hint="eastAsia"/>
          <w:color w:val="000000" w:themeColor="text1"/>
          <w14:textFill>
            <w14:solidFill>
              <w14:schemeClr w14:val="tx1"/>
            </w14:solidFill>
          </w14:textFill>
        </w:rPr>
        <w:t>南坎河</w:t>
      </w:r>
      <w:r>
        <w:rPr>
          <w:rFonts w:hint="eastAsia"/>
          <w:color w:val="000000" w:themeColor="text1"/>
          <w:lang w:val="zh-CN"/>
          <w14:textFill>
            <w14:solidFill>
              <w14:schemeClr w14:val="tx1"/>
            </w14:solidFill>
          </w14:textFill>
        </w:rPr>
        <w:t>汇入口上游挖掘临时置污塘，结合尾矿特征污染物的特性，通过投加药剂，降低地表水中特征污染物的浓度，同时对周边污染区域土壤、地下水及河道汇入口上下游进行监测。</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（二）尾矿水超标外排情景分析</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尾矿水超标外排主要是指尾矿库水澄清距离不足，尾矿浆未能完全澄清，因尾矿工检查不到位，未能及时调整尾矿排放管，而造成未完全澄清的矿浆经斜槽排出，会造成尾矿水超标外排情况。</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云南安宁泰源工贸集团有限公司景洪分公司尾矿库在正常工况下废水不外排，其库内排洪设施仅作为排洪通道，正常情况下该通道关闭，仅在汛期紧要情况下连通外界。当外排</w:t>
      </w:r>
      <w:r>
        <w:rPr>
          <w:rFonts w:hint="eastAsia"/>
          <w:color w:val="000000" w:themeColor="text1"/>
          <w:lang w:val="zh-CN"/>
          <w14:textFill>
            <w14:solidFill>
              <w14:schemeClr w14:val="tx1"/>
            </w14:solidFill>
          </w14:textFill>
        </w:rPr>
        <w:t>量较大、时间较长时，可能汇入下游南坎河，</w:t>
      </w:r>
      <w:r>
        <w:rPr>
          <w:rFonts w:hint="eastAsia"/>
          <w:color w:val="000000" w:themeColor="text1"/>
          <w14:textFill>
            <w14:solidFill>
              <w14:schemeClr w14:val="tx1"/>
            </w14:solidFill>
          </w14:textFill>
        </w:rPr>
        <w:t>对其水质造成影响</w:t>
      </w: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应立即将超标污水导入尾矿库坝下事故池，启动坝下水泵将超标污水返回至尾矿库库内；对超标污水进行取样监测，查找超标原因；在尾矿库澄清水域加投絮凝剂，降低污染浓度</w:t>
      </w:r>
      <w:r>
        <w:rPr>
          <w:rFonts w:hint="eastAsia"/>
          <w:color w:val="000000" w:themeColor="text1"/>
          <w:lang w:val="zh-CN"/>
          <w14:textFill>
            <w14:solidFill>
              <w14:schemeClr w14:val="tx1"/>
            </w14:solidFill>
          </w14:textFill>
        </w:rPr>
        <w:t>，同时对周边污染区域土壤、地下水及河道汇入口上下游进行监测</w:t>
      </w:r>
      <w:r>
        <w:rPr>
          <w:rFonts w:hint="eastAsia"/>
          <w:color w:val="000000" w:themeColor="text1"/>
          <w14:textFill>
            <w14:solidFill>
              <w14:schemeClr w14:val="tx1"/>
            </w14:solidFill>
          </w14:textFill>
        </w:rPr>
        <w:t>。</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（三）尾矿库渗滤液溢出外排情景</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渗滤液集水池溢流外排主要是指</w:t>
      </w:r>
      <w:r>
        <w:rPr>
          <w:color w:val="000000" w:themeColor="text1"/>
          <w14:textFill>
            <w14:solidFill>
              <w14:schemeClr w14:val="tx1"/>
            </w14:solidFill>
          </w14:textFill>
        </w:rPr>
        <w:t>尾矿库集水池</w:t>
      </w:r>
      <w:r>
        <w:rPr>
          <w:rFonts w:hint="eastAsia"/>
          <w:color w:val="000000" w:themeColor="text1"/>
          <w14:textFill>
            <w14:solidFill>
              <w14:schemeClr w14:val="tx1"/>
            </w14:solidFill>
          </w14:textFill>
        </w:rPr>
        <w:t>出现损坏或集水池内渗滤液未及时泵回库区内，造成</w:t>
      </w:r>
      <w:r>
        <w:rPr>
          <w:color w:val="000000" w:themeColor="text1"/>
          <w14:textFill>
            <w14:solidFill>
              <w14:schemeClr w14:val="tx1"/>
            </w14:solidFill>
          </w14:textFill>
        </w:rPr>
        <w:t>尾矿水溢出外排。</w:t>
      </w:r>
    </w:p>
    <w:p>
      <w:pPr>
        <w:ind w:firstLine="560"/>
        <w:rPr>
          <w:rFonts w:cs="Times New Roman"/>
          <w:color w:val="000000" w:themeColor="text1"/>
          <w:szCs w:val="28"/>
          <w14:textFill>
            <w14:solidFill>
              <w14:schemeClr w14:val="tx1"/>
            </w14:solidFill>
          </w14:textFill>
        </w:rPr>
      </w:pPr>
      <w:r>
        <w:rPr>
          <w:rFonts w:hint="eastAsia"/>
          <w:color w:val="000000" w:themeColor="text1"/>
          <w14:textFill>
            <w14:solidFill>
              <w14:schemeClr w14:val="tx1"/>
            </w14:solidFill>
          </w14:textFill>
        </w:rPr>
        <w:t>若发生尾矿水超标外排事故，会对南坎河水质产生一定影响。应启动备用水泵，将溢出的渗滤液泵回尾矿库库内；对受污染地表水投加药剂；</w:t>
      </w:r>
      <w:r>
        <w:rPr>
          <w:rFonts w:hint="eastAsia"/>
          <w:color w:val="000000" w:themeColor="text1"/>
          <w:lang w:val="zh-CN"/>
          <w14:textFill>
            <w14:solidFill>
              <w14:schemeClr w14:val="tx1"/>
            </w14:solidFill>
          </w14:textFill>
        </w:rPr>
        <w:t>对外溢区域周边土壤、地下水及河道汇入口上下游进行监测</w:t>
      </w:r>
      <w:r>
        <w:rPr>
          <w:rFonts w:hint="eastAsia"/>
          <w:color w:val="000000" w:themeColor="text1"/>
          <w14:textFill>
            <w14:solidFill>
              <w14:schemeClr w14:val="tx1"/>
            </w14:solidFill>
          </w14:textFill>
        </w:rPr>
        <w:t>。</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（四）</w:t>
      </w:r>
      <w:r>
        <w:rPr>
          <w:b/>
          <w:bCs/>
          <w:color w:val="000000" w:themeColor="text1"/>
          <w14:textFill>
            <w14:solidFill>
              <w14:schemeClr w14:val="tx1"/>
            </w14:solidFill>
          </w14:textFill>
        </w:rPr>
        <w:t>尾矿库渗漏</w:t>
      </w:r>
      <w:r>
        <w:rPr>
          <w:rFonts w:hint="eastAsia"/>
          <w:b/>
          <w:bCs/>
          <w:color w:val="000000" w:themeColor="text1"/>
          <w14:textFill>
            <w14:solidFill>
              <w14:schemeClr w14:val="tx1"/>
            </w14:solidFill>
          </w14:textFill>
        </w:rPr>
        <w:t>情景</w:t>
      </w:r>
      <w:r>
        <w:rPr>
          <w:b/>
          <w:bCs/>
          <w:color w:val="000000" w:themeColor="text1"/>
          <w14:textFill>
            <w14:solidFill>
              <w14:schemeClr w14:val="tx1"/>
            </w14:solidFill>
          </w14:textFill>
        </w:rPr>
        <w:t>分析</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在目前库区范围内，仅库内堆积尾矿砂及坝体局部的含砾粉质粘土排水性相对较好，弱透水性为主、局部颗粒粗处透水性中等；库岸及库底分布较厚的第四系坡残积粉质粘土层则相对隔水，两库岸深部的基岩倾向库尾(南向)，对防渗较为有利，不存在坝体渗漏或绕坝渗漏的条件。</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坝体堆填的粘性土碾压性好，透水性弱、渗漏量极小，属隔水层；下卧坡残积粉质粘土层硬塑～坚硬状、饱和，渗漏量极小，也属隔水层。坝体的浸润线位置在坝体中心地带，浸润线较为适宜，利于坝体的稳定。库区粘性土的浸水性极强、易于饱和，饱和后则透水性较弱。下覆深部的第三系泥质粉砂岩，岩体结构致密、薄~中厚层状、裂隙多被泥质充填，透水性较弱，亦属相对隔水层。</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综述之，因库区为地表水的汇集区，雨季洪水主要靠库内排水斜槽一排本管及右岸坝肩溢洪道进行排泄。岸坡排水斜糟槽身及盖板完好无损，排水通畅。</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结合云南安宁泰源工贸集团有限公司景洪分公司尾矿库</w:t>
      </w:r>
      <w:r>
        <w:rPr>
          <w:color w:val="000000" w:themeColor="text1"/>
          <w14:textFill>
            <w14:solidFill>
              <w14:schemeClr w14:val="tx1"/>
            </w14:solidFill>
          </w14:textFill>
        </w:rPr>
        <w:t>所在区域的地质水文条件，</w:t>
      </w:r>
      <w:r>
        <w:rPr>
          <w:rFonts w:hint="eastAsia"/>
          <w:color w:val="000000" w:themeColor="text1"/>
          <w14:textFill>
            <w14:solidFill>
              <w14:schemeClr w14:val="tx1"/>
            </w14:solidFill>
          </w14:textFill>
        </w:rPr>
        <w:t>若发生</w:t>
      </w:r>
      <w:r>
        <w:rPr>
          <w:color w:val="000000" w:themeColor="text1"/>
          <w14:textFill>
            <w14:solidFill>
              <w14:schemeClr w14:val="tx1"/>
            </w14:solidFill>
          </w14:textFill>
        </w:rPr>
        <w:t>尾矿库渗漏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主要影响到该区域地下水</w:t>
      </w:r>
      <w:r>
        <w:rPr>
          <w:rFonts w:hint="eastAsia"/>
          <w:color w:val="000000" w:themeColor="text1"/>
          <w14:textFill>
            <w14:solidFill>
              <w14:schemeClr w14:val="tx1"/>
            </w14:solidFill>
          </w14:textFill>
        </w:rPr>
        <w:t>第三系泥质粉砂岩</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渗滤液将直接进入第三系泥质粉砂岩，使得该含水层受到一定程度的污染，并部分排泄成地表水至南坎河，部分继续下渗至上震旦系陡山沱组裂隙、岩溶含水层。通过对云南安宁泰源工贸集团有限公司景洪分公司尾矿库下游径流沟谷沿途调查，下游沟谷内无泉点，无饮用水源及农田，故该含水层受到污染后对周边居民影响有限。该含水层水力循环较快，但云南安宁泰源工贸集团有限公司景洪分公司</w:t>
      </w:r>
      <w:r>
        <w:rPr>
          <w:color w:val="000000" w:themeColor="text1"/>
          <w14:textFill>
            <w14:solidFill>
              <w14:schemeClr w14:val="tx1"/>
            </w14:solidFill>
          </w14:textFill>
        </w:rPr>
        <w:t>尾矿库库底采取铺设粘土三级碾压硬化方式，利用粘土压实防渗，压实后在库底进行混凝土硬化处理，确保渗透系数小于1×10</w:t>
      </w:r>
      <w:r>
        <w:rPr>
          <w:color w:val="000000" w:themeColor="text1"/>
          <w:vertAlign w:val="superscript"/>
          <w14:textFill>
            <w14:solidFill>
              <w14:schemeClr w14:val="tx1"/>
            </w14:solidFill>
          </w14:textFill>
        </w:rPr>
        <w:t>-7</w:t>
      </w:r>
      <w:r>
        <w:rPr>
          <w:color w:val="000000" w:themeColor="text1"/>
          <w14:textFill>
            <w14:solidFill>
              <w14:schemeClr w14:val="tx1"/>
            </w14:solidFill>
          </w14:textFill>
        </w:rPr>
        <w:t>cm/s</w:t>
      </w:r>
      <w:r>
        <w:rPr>
          <w:rFonts w:hint="eastAsia"/>
          <w:color w:val="000000" w:themeColor="text1"/>
          <w14:textFill>
            <w14:solidFill>
              <w14:schemeClr w14:val="tx1"/>
            </w14:solidFill>
          </w14:textFill>
        </w:rPr>
        <w:t>，因此渗滤液渗漏量相对较小，尾矿库渗滤液渗漏对该含水层影响不大。</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根据项目</w:t>
      </w:r>
      <w:r>
        <w:rPr>
          <w:rFonts w:hint="eastAsia"/>
          <w:color w:val="000000" w:themeColor="text1"/>
          <w14:textFill>
            <w14:solidFill>
              <w14:schemeClr w14:val="tx1"/>
            </w14:solidFill>
          </w14:textFill>
        </w:rPr>
        <w:t>现有</w:t>
      </w:r>
      <w:r>
        <w:rPr>
          <w:color w:val="000000" w:themeColor="text1"/>
          <w14:textFill>
            <w14:solidFill>
              <w14:schemeClr w14:val="tx1"/>
            </w14:solidFill>
          </w14:textFill>
        </w:rPr>
        <w:t>监测报告，</w:t>
      </w:r>
      <w:r>
        <w:rPr>
          <w:rFonts w:hint="eastAsia"/>
          <w:color w:val="000000" w:themeColor="text1"/>
          <w:lang w:val="zh-CN"/>
          <w14:textFill>
            <w14:solidFill>
              <w14:schemeClr w14:val="tx1"/>
            </w14:solidFill>
          </w14:textFill>
        </w:rPr>
        <w:t>根据《地表水环境质量标准》（</w:t>
      </w:r>
      <w:r>
        <w:rPr>
          <w:color w:val="000000" w:themeColor="text1"/>
          <w:lang w:val="zh-CN"/>
          <w14:textFill>
            <w14:solidFill>
              <w14:schemeClr w14:val="tx1"/>
            </w14:solidFill>
          </w14:textFill>
        </w:rPr>
        <w:t xml:space="preserve">GB </w:t>
      </w:r>
      <w:r>
        <w:rPr>
          <w:rFonts w:hint="eastAsia"/>
          <w:color w:val="000000" w:themeColor="text1"/>
          <w14:textFill>
            <w14:solidFill>
              <w14:schemeClr w14:val="tx1"/>
            </w14:solidFill>
          </w14:textFill>
        </w:rPr>
        <w:t>3838</w:t>
      </w:r>
      <w:r>
        <w:rPr>
          <w:color w:val="000000" w:themeColor="text1"/>
          <w:lang w:val="zh-CN"/>
          <w14:textFill>
            <w14:solidFill>
              <w14:schemeClr w14:val="tx1"/>
            </w14:solidFill>
          </w14:textFill>
        </w:rPr>
        <w:t>-2</w:t>
      </w:r>
      <w:r>
        <w:rPr>
          <w:rFonts w:hint="eastAsia"/>
          <w:color w:val="000000" w:themeColor="text1"/>
          <w14:textFill>
            <w14:solidFill>
              <w14:schemeClr w14:val="tx1"/>
            </w14:solidFill>
          </w14:textFill>
        </w:rPr>
        <w:t>002</w:t>
      </w:r>
      <w:r>
        <w:rPr>
          <w:rFonts w:hint="eastAsia"/>
          <w:color w:val="000000" w:themeColor="text1"/>
          <w:lang w:val="zh-CN"/>
          <w14:textFill>
            <w14:solidFill>
              <w14:schemeClr w14:val="tx1"/>
            </w14:solidFill>
          </w14:textFill>
        </w:rPr>
        <w:t>）Ⅲ类水质标准及参照《污水综合排放标准》（</w:t>
      </w:r>
      <w:r>
        <w:rPr>
          <w:color w:val="000000" w:themeColor="text1"/>
          <w:lang w:val="zh-CN"/>
          <w14:textFill>
            <w14:solidFill>
              <w14:schemeClr w14:val="tx1"/>
            </w14:solidFill>
          </w14:textFill>
        </w:rPr>
        <w:t>GB 8978-1996</w:t>
      </w:r>
      <w:r>
        <w:rPr>
          <w:rFonts w:hint="eastAsia"/>
          <w:color w:val="000000" w:themeColor="text1"/>
          <w:lang w:val="zh-CN"/>
          <w14:textFill>
            <w14:solidFill>
              <w14:schemeClr w14:val="tx1"/>
            </w14:solidFill>
          </w14:textFill>
        </w:rPr>
        <w:t>）表</w:t>
      </w: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和表</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中的一级标准考核</w:t>
      </w:r>
      <w:r>
        <w:rPr>
          <w:rFonts w:hint="eastAsia"/>
          <w:color w:val="000000" w:themeColor="text1"/>
          <w14:textFill>
            <w14:solidFill>
              <w14:schemeClr w14:val="tx1"/>
            </w14:solidFill>
          </w14:textFill>
        </w:rPr>
        <w:t>。综合考虑上述分析可知，尾矿库渗漏对地下水、南坎河水环境的影响较小。若发生尾矿库渗漏事件，应迅速查找渗漏点并补漏，同时对尾矿库监测井及村庄水井进行检测。</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（五）</w:t>
      </w:r>
      <w:r>
        <w:rPr>
          <w:b/>
          <w:bCs/>
          <w:color w:val="000000" w:themeColor="text1"/>
          <w14:textFill>
            <w14:solidFill>
              <w14:schemeClr w14:val="tx1"/>
            </w14:solidFill>
          </w14:textFill>
        </w:rPr>
        <w:t>尾矿输送管道泄漏</w:t>
      </w:r>
      <w:r>
        <w:rPr>
          <w:rFonts w:hint="eastAsia"/>
          <w:b/>
          <w:bCs/>
          <w:color w:val="000000" w:themeColor="text1"/>
          <w14:textFill>
            <w14:solidFill>
              <w14:schemeClr w14:val="tx1"/>
            </w14:solidFill>
          </w14:textFill>
        </w:rPr>
        <w:t>情景分析</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尾矿输送管线</w:t>
      </w:r>
      <w:r>
        <w:rPr>
          <w:rFonts w:hint="eastAsia"/>
          <w:color w:val="000000" w:themeColor="text1"/>
          <w14:textFill>
            <w14:solidFill>
              <w14:schemeClr w14:val="tx1"/>
            </w14:solidFill>
          </w14:textFill>
        </w:rPr>
        <w:t>可能因为管线发生断裂、爆裂，导致尾砂泄漏。结合云南安宁泰源工贸集团有限公司景洪分公司尾矿库实际情况，其尾矿砂属于第Ⅰ类一般工业固体废物，尾矿废水达到排放标准，若出现尾矿输送管道泄漏事故，会对周围环境产生一定影响。此时，选厂应立即停止选矿作业，停止尾砂扬送作业，将尾砂存入选厂应急事故池。调集选厂应急队伍、清理泄漏尾砂；安排维修人员携带电焊机及相关的维修材料配件赶赴现场；对污染水体投加药剂；针对不同泄漏地点采取响应的应急处置措施，同时</w:t>
      </w:r>
      <w:r>
        <w:rPr>
          <w:rFonts w:hint="eastAsia"/>
          <w:color w:val="000000" w:themeColor="text1"/>
          <w:lang w:val="zh-CN"/>
          <w14:textFill>
            <w14:solidFill>
              <w14:schemeClr w14:val="tx1"/>
            </w14:solidFill>
          </w14:textFill>
        </w:rPr>
        <w:t>对外溢区域周边土壤、地下水及河道汇入口上下游进行监测</w:t>
      </w:r>
      <w:r>
        <w:rPr>
          <w:rFonts w:hint="eastAsia"/>
          <w:color w:val="000000" w:themeColor="text1"/>
          <w14:textFill>
            <w14:solidFill>
              <w14:schemeClr w14:val="tx1"/>
            </w14:solidFill>
          </w14:textFill>
        </w:rPr>
        <w:t>。</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（六）</w:t>
      </w:r>
      <w:r>
        <w:rPr>
          <w:b/>
          <w:bCs/>
          <w:color w:val="000000" w:themeColor="text1"/>
          <w14:textFill>
            <w14:solidFill>
              <w14:schemeClr w14:val="tx1"/>
            </w14:solidFill>
          </w14:textFill>
        </w:rPr>
        <w:t>回水管线泄漏</w:t>
      </w:r>
      <w:r>
        <w:rPr>
          <w:rFonts w:hint="eastAsia"/>
          <w:b/>
          <w:bCs/>
          <w:color w:val="000000" w:themeColor="text1"/>
          <w14:textFill>
            <w14:solidFill>
              <w14:schemeClr w14:val="tx1"/>
            </w14:solidFill>
          </w14:textFill>
        </w:rPr>
        <w:t>情景</w:t>
      </w:r>
      <w:r>
        <w:rPr>
          <w:b/>
          <w:bCs/>
          <w:color w:val="000000" w:themeColor="text1"/>
          <w14:textFill>
            <w14:solidFill>
              <w14:schemeClr w14:val="tx1"/>
            </w14:solidFill>
          </w14:textFill>
        </w:rPr>
        <w:t>分析</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尾矿库回水管线可能因为长时间磨损、人为扰动、车辆导致回水管线发生断裂等，造成尾矿回水泄漏。云南安宁泰源工贸集团有限公司景洪分公司选矿厂</w:t>
      </w:r>
      <w:r>
        <w:rPr>
          <w:color w:val="000000" w:themeColor="text1"/>
          <w14:textFill>
            <w14:solidFill>
              <w14:schemeClr w14:val="tx1"/>
            </w14:solidFill>
          </w14:textFill>
        </w:rPr>
        <w:t>选矿过程产生的尾矿水主要为悬浮物废水，经沉淀处理后</w:t>
      </w:r>
      <w:r>
        <w:rPr>
          <w:rFonts w:hint="eastAsia"/>
          <w:color w:val="000000" w:themeColor="text1"/>
          <w14:textFill>
            <w14:solidFill>
              <w14:schemeClr w14:val="tx1"/>
            </w14:solidFill>
          </w14:textFill>
        </w:rPr>
        <w:t>，由</w:t>
      </w:r>
      <w:r>
        <w:rPr>
          <w:color w:val="000000" w:themeColor="text1"/>
          <w14:textFill>
            <w14:solidFill>
              <w14:schemeClr w14:val="tx1"/>
            </w14:solidFill>
          </w14:textFill>
        </w:rPr>
        <w:t>移动泵站</w:t>
      </w:r>
      <w:r>
        <w:rPr>
          <w:rFonts w:hint="eastAsia"/>
          <w:color w:val="000000" w:themeColor="text1"/>
          <w14:textFill>
            <w14:solidFill>
              <w14:schemeClr w14:val="tx1"/>
            </w14:solidFill>
          </w14:textFill>
        </w:rPr>
        <w:t>从</w:t>
      </w:r>
      <w:r>
        <w:rPr>
          <w:color w:val="000000" w:themeColor="text1"/>
          <w14:textFill>
            <w14:solidFill>
              <w14:schemeClr w14:val="tx1"/>
            </w14:solidFill>
          </w14:textFill>
        </w:rPr>
        <w:t>尾矿库内澄清区取水扬送到高位水池，供生产循环使，不外排</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尾矿</w:t>
      </w:r>
      <w:r>
        <w:rPr>
          <w:rFonts w:hint="eastAsia"/>
          <w:color w:val="000000" w:themeColor="text1"/>
          <w14:textFill>
            <w14:solidFill>
              <w14:schemeClr w14:val="tx1"/>
            </w14:solidFill>
          </w14:textFill>
        </w:rPr>
        <w:t>坝后</w:t>
      </w:r>
      <w:r>
        <w:rPr>
          <w:color w:val="000000" w:themeColor="text1"/>
          <w14:textFill>
            <w14:solidFill>
              <w14:schemeClr w14:val="tx1"/>
            </w14:solidFill>
          </w14:textFill>
        </w:rPr>
        <w:t>设有一个集水池，库内的尾矿渗滤液经坝脚排水沟收集后汇入池内，池内设有一台潜水泵，依据池内水位情况及时泵回尾矿库区尾部，并通过尾矿库内回水系统泵回选厂循环使用。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距离库区最近的地表水为</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，执行《地表水环境质量标准》（GB 3838-2002）</w:t>
      </w:r>
      <w:r>
        <w:rPr>
          <w:rFonts w:hint="eastAsia"/>
          <w:color w:val="000000" w:themeColor="text1"/>
          <w14:textFill>
            <w14:solidFill>
              <w14:schemeClr w14:val="tx1"/>
            </w14:solidFill>
          </w14:textFill>
        </w:rPr>
        <w:t>Ⅲ</w:t>
      </w:r>
      <w:r>
        <w:rPr>
          <w:color w:val="000000" w:themeColor="text1"/>
          <w14:textFill>
            <w14:solidFill>
              <w14:schemeClr w14:val="tx1"/>
            </w14:solidFill>
          </w14:textFill>
        </w:rPr>
        <w:t>类标准。</w:t>
      </w:r>
      <w:r>
        <w:rPr>
          <w:rFonts w:hint="eastAsia"/>
          <w:color w:val="000000" w:themeColor="text1"/>
          <w14:textFill>
            <w14:solidFill>
              <w14:schemeClr w14:val="tx1"/>
            </w14:solidFill>
          </w14:textFill>
        </w:rPr>
        <w:t>若</w:t>
      </w:r>
      <w:r>
        <w:rPr>
          <w:color w:val="000000" w:themeColor="text1"/>
          <w14:textFill>
            <w14:solidFill>
              <w14:schemeClr w14:val="tx1"/>
            </w14:solidFill>
          </w14:textFill>
        </w:rPr>
        <w:t>出现回水管线泄漏，导致尾矿废水外排，</w:t>
      </w:r>
      <w:r>
        <w:rPr>
          <w:rFonts w:hint="eastAsia"/>
          <w:color w:val="000000" w:themeColor="text1"/>
          <w14:textFill>
            <w14:solidFill>
              <w14:schemeClr w14:val="tx1"/>
            </w14:solidFill>
          </w14:textFill>
        </w:rPr>
        <w:t>可能会对</w:t>
      </w:r>
      <w:r>
        <w:rPr>
          <w:color w:val="000000" w:themeColor="text1"/>
          <w14:textFill>
            <w14:solidFill>
              <w14:schemeClr w14:val="tx1"/>
            </w14:solidFill>
          </w14:textFill>
        </w:rPr>
        <w:t>下游</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造成影响，如被周边村民利用则可能引发二次污染。</w:t>
      </w:r>
      <w:r>
        <w:rPr>
          <w:rFonts w:hint="eastAsia"/>
          <w:color w:val="000000" w:themeColor="text1"/>
          <w14:textFill>
            <w14:solidFill>
              <w14:schemeClr w14:val="tx1"/>
            </w14:solidFill>
          </w14:textFill>
        </w:rPr>
        <w:t>应立即通知水泵停机，确认泄漏位置，调集抢修抢险组、应急监测组对事故地点进行应急处置，同时</w:t>
      </w:r>
      <w:r>
        <w:rPr>
          <w:rFonts w:hint="eastAsia"/>
          <w:color w:val="000000" w:themeColor="text1"/>
          <w:lang w:val="zh-CN"/>
          <w14:textFill>
            <w14:solidFill>
              <w14:schemeClr w14:val="tx1"/>
            </w14:solidFill>
          </w14:textFill>
        </w:rPr>
        <w:t>对外溢区域周边土壤、地下水及河道汇入口上下游进行监测</w:t>
      </w:r>
      <w:r>
        <w:rPr>
          <w:rFonts w:hint="eastAsia"/>
          <w:color w:val="000000" w:themeColor="text1"/>
          <w14:textFill>
            <w14:solidFill>
              <w14:schemeClr w14:val="tx1"/>
            </w14:solidFill>
          </w14:textFill>
        </w:rPr>
        <w:t>。</w:t>
      </w:r>
    </w:p>
    <w:p>
      <w:pPr>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（七）</w:t>
      </w:r>
      <w:r>
        <w:rPr>
          <w:b/>
          <w:bCs/>
          <w:color w:val="000000" w:themeColor="text1"/>
          <w14:textFill>
            <w14:solidFill>
              <w14:schemeClr w14:val="tx1"/>
            </w14:solidFill>
          </w14:textFill>
        </w:rPr>
        <w:t>尾矿库溃坝</w:t>
      </w:r>
      <w:r>
        <w:rPr>
          <w:rFonts w:hint="eastAsia"/>
          <w:b/>
          <w:bCs/>
          <w:color w:val="000000" w:themeColor="text1"/>
          <w14:textFill>
            <w14:solidFill>
              <w14:schemeClr w14:val="tx1"/>
            </w14:solidFill>
          </w14:textFill>
        </w:rPr>
        <w:t>情景</w:t>
      </w:r>
      <w:r>
        <w:rPr>
          <w:b/>
          <w:bCs/>
          <w:color w:val="000000" w:themeColor="text1"/>
          <w14:textFill>
            <w14:solidFill>
              <w14:schemeClr w14:val="tx1"/>
            </w14:solidFill>
          </w14:textFill>
        </w:rPr>
        <w:t>分析</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尾矿库溃坝是尾矿库主要环境风险之一。一旦溃坝，库区内拦蓄的大量尾矿物质、坝体物质和聚集在库内的水体被暴雨洪水瞬间冲向下游和沟外，一般可形成重度大于18kN/m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粘性泥石流，具有很强的破坏力，对尾矿库下游的河流、村庄和农田将造成重大的危害。</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尾矿库若发生溃坝事故，尾矿库内的废水和尾矿被洪水冲向下游，尾矿库下游的排水、回水设施和下游农田、山地植被将冲毁或埋没，淤塞下游箐沟，对周边村庄构成极大损害，甚至威胁下游500m以外村民的安全，对下游云南安宁泰源工贸集团有限公司景洪分公司选厂以及下游水体和植被造成影响。</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因此需切实做好项目溃坝的安全防护工作。根据国内外尾矿库的运行实践，只要在尾矿库的设计、施工和运行过程中严格执行《选矿厂尾矿设施设计规范》（ZBJ1-90）和《尾矿库安全监督管理规定》（安全监管总局令第38号），尾矿库溃坝的事故是可以避免的。</w:t>
      </w:r>
    </w:p>
    <w:p>
      <w:pPr>
        <w:pStyle w:val="17"/>
        <w:rPr>
          <w:color w:val="000000" w:themeColor="text1"/>
          <w14:textFill>
            <w14:solidFill>
              <w14:schemeClr w14:val="tx1"/>
            </w14:solidFill>
          </w14:textFill>
        </w:rPr>
      </w:pPr>
      <w:bookmarkStart w:id="60" w:name="_Toc2817"/>
      <w:bookmarkStart w:id="61" w:name="_Toc43143182"/>
      <w:r>
        <w:rPr>
          <w:color w:val="000000" w:themeColor="text1"/>
          <w14:textFill>
            <w14:solidFill>
              <w14:schemeClr w14:val="tx1"/>
            </w14:solidFill>
          </w14:textFill>
        </w:rPr>
        <w:t>4应急组织机构及职责</w:t>
      </w:r>
      <w:bookmarkEnd w:id="60"/>
      <w:bookmarkEnd w:id="61"/>
    </w:p>
    <w:p>
      <w:pPr>
        <w:pStyle w:val="18"/>
        <w:rPr>
          <w:color w:val="000000" w:themeColor="text1"/>
          <w14:textFill>
            <w14:solidFill>
              <w14:schemeClr w14:val="tx1"/>
            </w14:solidFill>
          </w14:textFill>
        </w:rPr>
      </w:pPr>
      <w:bookmarkStart w:id="62" w:name="_Toc3083"/>
      <w:bookmarkStart w:id="63" w:name="_Toc43143183"/>
      <w:r>
        <w:rPr>
          <w:color w:val="000000" w:themeColor="text1"/>
          <w14:textFill>
            <w14:solidFill>
              <w14:schemeClr w14:val="tx1"/>
            </w14:solidFill>
          </w14:textFill>
        </w:rPr>
        <w:t>4.1应急组织机构</w:t>
      </w:r>
      <w:bookmarkEnd w:id="62"/>
      <w:bookmarkEnd w:id="63"/>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设立</w:t>
      </w:r>
      <w:r>
        <w:rPr>
          <w:rFonts w:hint="eastAsia"/>
          <w:color w:val="000000" w:themeColor="text1"/>
          <w14:textFill>
            <w14:solidFill>
              <w14:schemeClr w14:val="tx1"/>
            </w14:solidFill>
          </w14:textFill>
        </w:rPr>
        <w:t>了</w:t>
      </w:r>
      <w:r>
        <w:rPr>
          <w:color w:val="000000" w:themeColor="text1"/>
          <w14:textFill>
            <w14:solidFill>
              <w14:schemeClr w14:val="tx1"/>
            </w14:solidFill>
          </w14:textFill>
        </w:rPr>
        <w:t>应急指挥中心</w:t>
      </w:r>
      <w:r>
        <w:rPr>
          <w:rFonts w:hint="eastAsia"/>
          <w:color w:val="000000" w:themeColor="text1"/>
          <w14:textFill>
            <w14:solidFill>
              <w14:schemeClr w14:val="tx1"/>
            </w14:solidFill>
          </w14:textFill>
        </w:rPr>
        <w:t>，并</w:t>
      </w:r>
      <w:r>
        <w:rPr>
          <w:color w:val="000000" w:themeColor="text1"/>
          <w14:textFill>
            <w14:solidFill>
              <w14:schemeClr w14:val="tx1"/>
            </w14:solidFill>
          </w14:textFill>
        </w:rPr>
        <w:t>根据尾矿库环境应急工作特点，在应急救援指挥中心下设置</w:t>
      </w:r>
      <w:r>
        <w:rPr>
          <w:rFonts w:hint="eastAsia"/>
          <w:color w:val="000000" w:themeColor="text1"/>
          <w14:textFill>
            <w14:solidFill>
              <w14:schemeClr w14:val="tx1"/>
            </w14:solidFill>
          </w14:textFill>
        </w:rPr>
        <w:t>信息通讯组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环境保护</w:t>
      </w:r>
      <w:r>
        <w:rPr>
          <w:color w:val="000000" w:themeColor="text1"/>
          <w14:textFill>
            <w14:solidFill>
              <w14:schemeClr w14:val="tx1"/>
            </w14:solidFill>
          </w14:textFill>
        </w:rPr>
        <w:t>组、抢险抢修组、</w:t>
      </w:r>
      <w:r>
        <w:rPr>
          <w:rFonts w:hint="eastAsia"/>
          <w:color w:val="000000" w:themeColor="text1"/>
          <w14:textFill>
            <w14:solidFill>
              <w14:schemeClr w14:val="tx1"/>
            </w14:solidFill>
          </w14:textFill>
        </w:rPr>
        <w:t>警戒疏散</w:t>
      </w:r>
      <w:r>
        <w:rPr>
          <w:color w:val="000000" w:themeColor="text1"/>
          <w14:textFill>
            <w14:solidFill>
              <w14:schemeClr w14:val="tx1"/>
            </w14:solidFill>
          </w14:textFill>
        </w:rPr>
        <w:t>组、</w:t>
      </w:r>
      <w:r>
        <w:rPr>
          <w:rFonts w:hint="eastAsia"/>
          <w:color w:val="000000" w:themeColor="text1"/>
          <w14:textFill>
            <w14:solidFill>
              <w14:schemeClr w14:val="tx1"/>
            </w14:solidFill>
          </w14:textFill>
        </w:rPr>
        <w:t>后勤救护</w:t>
      </w:r>
      <w:r>
        <w:rPr>
          <w:color w:val="000000" w:themeColor="text1"/>
          <w14:textFill>
            <w14:solidFill>
              <w14:schemeClr w14:val="tx1"/>
            </w14:solidFill>
          </w14:textFill>
        </w:rPr>
        <w:t>组、共</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个应急小组。应急组织机构见图4.1-1。</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应急组织机构是非常设机构，当启动本预案时成立该组织机构，应急终止时机构功能随之停止。</w:t>
      </w:r>
    </w:p>
    <w:p>
      <w:pPr>
        <w:spacing w:line="520" w:lineRule="exact"/>
        <w:ind w:firstLine="420"/>
        <w:rPr>
          <w:rFonts w:cs="Times New Roman"/>
          <w:color w:val="000000" w:themeColor="text1"/>
          <w:szCs w:val="28"/>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p>
    <w:p>
      <w:pPr>
        <w:pStyle w:val="2"/>
        <w:rPr>
          <w:rFonts w:cs="Times New Roman"/>
          <w:color w:val="000000" w:themeColor="text1"/>
          <w:szCs w:val="28"/>
          <w14:textFill>
            <w14:solidFill>
              <w14:schemeClr w14:val="tx1"/>
            </w14:solidFill>
          </w14:textFill>
        </w:rPr>
      </w:pPr>
    </w:p>
    <w:p>
      <w:pPr>
        <w:pStyle w:val="3"/>
        <w:rPr>
          <w:rFonts w:cs="Times New Roman"/>
          <w:color w:val="000000" w:themeColor="text1"/>
          <w:szCs w:val="28"/>
          <w14:textFill>
            <w14:solidFill>
              <w14:schemeClr w14:val="tx1"/>
            </w14:solidFill>
          </w14:textFill>
        </w:rPr>
      </w:pPr>
    </w:p>
    <w:p>
      <w:pPr>
        <w:pStyle w:val="5"/>
        <w:rPr>
          <w:rFonts w:cs="Times New Roman"/>
          <w:color w:val="000000" w:themeColor="text1"/>
          <w:szCs w:val="28"/>
          <w14:textFill>
            <w14:solidFill>
              <w14:schemeClr w14:val="tx1"/>
            </w14:solidFill>
          </w14:textFill>
        </w:rPr>
      </w:pPr>
    </w:p>
    <w:p>
      <w:pPr>
        <w:pStyle w:val="7"/>
        <w:rPr>
          <w:color w:val="000000" w:themeColor="text1"/>
          <w14:textFill>
            <w14:solidFill>
              <w14:schemeClr w14:val="tx1"/>
            </w14:solidFill>
          </w14:textFill>
        </w:rPr>
      </w:pPr>
    </w:p>
    <w:p>
      <w:pPr>
        <w:spacing w:line="520" w:lineRule="exact"/>
        <w:ind w:firstLine="420"/>
        <w:rPr>
          <w:rFonts w:cs="Times New Roman"/>
          <w:color w:val="000000" w:themeColor="text1"/>
          <w:szCs w:val="28"/>
          <w14:textFill>
            <w14:solidFill>
              <w14:schemeClr w14:val="tx1"/>
            </w14:solidFill>
          </w14:textFill>
        </w:rPr>
      </w:pPr>
      <w:r>
        <w:rPr>
          <w:rFonts w:cs="Times New Roman"/>
          <w:color w:val="000000" w:themeColor="text1"/>
          <w:sz w:val="21"/>
          <w:szCs w:val="24"/>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3662680</wp:posOffset>
                </wp:positionH>
                <wp:positionV relativeFrom="paragraph">
                  <wp:posOffset>110490</wp:posOffset>
                </wp:positionV>
                <wp:extent cx="931545" cy="550545"/>
                <wp:effectExtent l="5080" t="4445" r="15875" b="16510"/>
                <wp:wrapNone/>
                <wp:docPr id="17" name="Text Box 255"/>
                <wp:cNvGraphicFramePr/>
                <a:graphic xmlns:a="http://schemas.openxmlformats.org/drawingml/2006/main">
                  <a:graphicData uri="http://schemas.microsoft.com/office/word/2010/wordprocessingShape">
                    <wps:wsp>
                      <wps:cNvSpPr txBox="1"/>
                      <wps:spPr>
                        <a:xfrm>
                          <a:off x="0" y="0"/>
                          <a:ext cx="931545" cy="550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ascii="仿宋" w:hAnsi="仿宋" w:cs="仿宋"/>
                                <w:sz w:val="21"/>
                                <w:szCs w:val="24"/>
                              </w:rPr>
                            </w:pPr>
                            <w:r>
                              <w:rPr>
                                <w:rFonts w:hint="eastAsia" w:ascii="仿宋" w:hAnsi="仿宋" w:cs="仿宋"/>
                                <w:sz w:val="21"/>
                                <w:szCs w:val="24"/>
                              </w:rPr>
                              <w:t>上级应急机构支援</w:t>
                            </w:r>
                          </w:p>
                        </w:txbxContent>
                      </wps:txbx>
                      <wps:bodyPr upright="1"/>
                    </wps:wsp>
                  </a:graphicData>
                </a:graphic>
              </wp:anchor>
            </w:drawing>
          </mc:Choice>
          <mc:Fallback>
            <w:pict>
              <v:shape id="Text Box 255" o:spid="_x0000_s1026" o:spt="202" type="#_x0000_t202" style="position:absolute;left:0pt;margin-left:288.4pt;margin-top:8.7pt;height:43.35pt;width:73.35pt;z-index:251679744;mso-width-relative:page;mso-height-relative:page;" fillcolor="#FFFFFF" filled="t" stroked="t" coordsize="21600,21600" o:gfxdata="UEsDBAoAAAAAAIdO4kAAAAAAAAAAAAAAAAAEAAAAZHJzL1BLAwQUAAAACACHTuJAOMDmRNkAAAAK&#10;AQAADwAAAGRycy9kb3ducmV2LnhtbE2PzU7DMBCE70i8g7VIXBC106ZJCXF6QALBDQpqr268TSL8&#10;E2w3LW/PcoLj7Ixmvq3XZ2vYhCEO3knIZgIYutbrwXUSPt4fb1fAYlJOK+MdSvjGCOvm8qJWlfYn&#10;94bTJnWMSlyslIQ+pbHiPLY9WhVnfkRH3sEHqxLJ0HEd1InKreFzIQpu1eBooVcjPvTYfm6OVsIq&#10;f5528WXxum2Lg7lLN+X09BWkvL7KxD2whOf0F4ZffEKHhpj2/uh0ZEbCsiwIPZFR5sAoUM4XS2B7&#10;Oog8A97U/P8LzQ9QSwMEFAAAAAgAh07iQKlfYmf5AQAANwQAAA4AAABkcnMvZTJvRG9jLnhtbK1T&#10;247TMBB9R+IfLL/TpIUAGzVdCUp5QYC0ywe4viSWfJPHbdK/Z+x0uxd46MPmwRl7js/MnBmvbydr&#10;yFFG0N51dLmoKZGOe6Fd39E/97t3nymBxJxgxjvZ0ZMEert5+2Y9hlau/OCNkJEgiYN2DB0dUgpt&#10;VQEfpGWw8EE6dCofLUu4jX0lIhuR3ZpqVdcfq9FHEaLnEgBPt7OTnhnjNYReKc3l1vODlS7NrFEa&#10;lrAkGHQAuinZKiV5+qUUyERMR7HSVFYMgvY+r9Vmzdo+sjBofk6BXZPCi5os0w6DXqi2LDFyiPof&#10;Kqt59OBVWnBvq7mQoghWsaxfaHM3sCBLLSg1hIvo8Hq0/OfxdyRa4CR8osQxix2/l1MiX/xEVk2T&#10;BRoDtIi7C4hMEzoQ/HAOeJjrnlS0+Y8VEfSjvKeLvJmO4+HN+2XzoaGEo6tp6mwje/V4OURI36W3&#10;JBsdjdi9Iio7/oA0Qx8gORZ4o8VOG1M2sd9/NZEcGXZ6V74z+zOYcWTETJpVzoPh+CocGzRtQAnA&#10;9SXesxvwlLgu3/+Ic2JbBsOcQGHIMNZanWQs1iCZ+OYESaeAKjt8XTQnY6WgxEh8jNkqyMS0uQaJ&#10;2hmHEuYOzZ3IVpr2E9Jkc+/FCbt2CFH3A0pa+lbgOE9F+/Ps54F9ui+kj+998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4wOZE2QAAAAoBAAAPAAAAAAAAAAEAIAAAACIAAABkcnMvZG93bnJldi54&#10;bWxQSwECFAAUAAAACACHTuJAqV9iZ/kBAAA3BAAADgAAAAAAAAABACAAAAAoAQAAZHJzL2Uyb0Rv&#10;Yy54bWxQSwUGAAAAAAYABgBZAQAAkwUAAAAA&#10;">
                <v:fill on="t" focussize="0,0"/>
                <v:stroke color="#000000" joinstyle="miter"/>
                <v:imagedata o:title=""/>
                <o:lock v:ext="edit" aspectratio="f"/>
                <v:textbox>
                  <w:txbxContent>
                    <w:p>
                      <w:pPr>
                        <w:spacing w:line="240" w:lineRule="auto"/>
                        <w:ind w:firstLine="0" w:firstLineChars="0"/>
                        <w:jc w:val="center"/>
                        <w:rPr>
                          <w:rFonts w:ascii="仿宋" w:hAnsi="仿宋" w:cs="仿宋"/>
                          <w:sz w:val="21"/>
                          <w:szCs w:val="24"/>
                        </w:rPr>
                      </w:pPr>
                      <w:r>
                        <w:rPr>
                          <w:rFonts w:hint="eastAsia" w:ascii="仿宋" w:hAnsi="仿宋" w:cs="仿宋"/>
                          <w:sz w:val="21"/>
                          <w:szCs w:val="24"/>
                        </w:rPr>
                        <w:t>上级应急机构支援</w:t>
                      </w:r>
                    </w:p>
                  </w:txbxContent>
                </v:textbox>
              </v:shape>
            </w:pict>
          </mc:Fallback>
        </mc:AlternateContent>
      </w:r>
      <w:r>
        <w:rPr>
          <w:rFonts w:cs="Times New Roman"/>
          <w:color w:val="000000" w:themeColor="text1"/>
          <w:sz w:val="21"/>
          <w:szCs w:val="24"/>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-10160</wp:posOffset>
                </wp:positionH>
                <wp:positionV relativeFrom="paragraph">
                  <wp:posOffset>129540</wp:posOffset>
                </wp:positionV>
                <wp:extent cx="5600700" cy="3382010"/>
                <wp:effectExtent l="0" t="0" r="0" b="0"/>
                <wp:wrapNone/>
                <wp:docPr id="3" name="Picture 13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00700" cy="3382010"/>
                        </a:xfrm>
                        <a:prstGeom prst="rect">
                          <a:avLst/>
                        </a:prstGeom>
                        <a:noFill/>
                        <a:ln>
                          <a:noFill/>
                        </a:ln>
                      </wps:spPr>
                      <wps:bodyPr upright="1"/>
                    </wps:wsp>
                  </a:graphicData>
                </a:graphic>
              </wp:anchor>
            </w:drawing>
          </mc:Choice>
          <mc:Fallback>
            <w:pict>
              <v:rect id="Picture 1315" o:spid="_x0000_s1026" o:spt="1" style="position:absolute;left:0pt;margin-left:-0.8pt;margin-top:10.2pt;height:266.3pt;width:441pt;z-index:251666432;mso-width-relative:page;mso-height-relative:page;" filled="f" stroked="f" coordsize="21600,21600" o:gfxdata="UEsDBAoAAAAAAIdO4kAAAAAAAAAAAAAAAAAEAAAAZHJzL1BLAwQUAAAACACHTuJAkJjN9NoAAAAJ&#10;AQAADwAAAGRycy9kb3ducmV2LnhtbE2PQWvCQBCF74X+h2UKvRTdja0S0kw8CKVSCmJsPa/JmASz&#10;szG7Jvbfdz21tze8x3vfpMuracVAvWssI0RTBYK4sGXDFcLX7m0Sg3Bec6lby4TwQw6W2f1dqpPS&#10;jrylIfeVCCXsEo1Qe98lUrqiJqPd1HbEwTva3mgfzr6SZa/HUG5aOVNqIY1uOCzUuqNVTcUpvxiE&#10;sdgM+93nu9w87deWz+vzKv/+QHx8iNQrCE9X/xeGG35AhywwHeyFSydahEm0CEmEmXoBEfw4vokD&#10;wnz+rEBmqfz/QfYLUEsDBBQAAAAIAIdO4kAGFxzUqQEAAGcDAAAOAAAAZHJzL2Uyb0RvYy54bWyt&#10;U01v2zAMvQ/YfxB0X+w0aFcYcYpiQXcptgDdfoAq07ZQfYFU4uTfj1LSdOkuPewiSCT1+N6jtLzb&#10;Oyt2gGSCb+V8VksBXofO+KGVv389fLmVgpLynbLBQysPQPJu9fnTcooNXIUx2A5QMIinZoqtHFOK&#10;TVWRHsEpmoUInpN9QKcSH3GoOlQToztbXdX1TTUF7CIGDUQcXR+T8oSIHwEMfW80rIPeOvDpiIpg&#10;VWJJNJpIclXY9j3o9LPvCZKwrWSlqazchPfPea1WS9UMqOJo9ImC+giFd5qcMp6bnqHWKimxRfMP&#10;lDMaA4U+zXRw1VFIcYRVzOt33jyNKkLRwlZTPJtO/w9W/9htUJiulQspvHI88I3RaYsg5ov5dfZn&#10;itRw2VPcYFZI8THoFxI+fBuVH+CeIrvMLynXVhfF+UCna/seXb7OksW++H84+w/7JDQHr2/q+mvN&#10;o9GcWyxusyUFVTWv1yNS+g7BibxpJXLr4rvaPVLKBFTzWpK7+fBgrC1Dtv4iwIU5UggfOWa2z6E7&#10;sB/biGYYL0Sx/wX99FbygP8+F6S3/7H6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JCYzfTaAAAA&#10;CQEAAA8AAAAAAAAAAQAgAAAAIgAAAGRycy9kb3ducmV2LnhtbFBLAQIUABQAAAAIAIdO4kAGFxzU&#10;qQEAAGcDAAAOAAAAAAAAAAEAIAAAACkBAABkcnMvZTJvRG9jLnhtbFBLBQYAAAAABgAGAFkBAABE&#10;BQAAAAA=&#10;">
                <v:fill on="f" focussize="0,0"/>
                <v:stroke on="f"/>
                <v:imagedata o:title=""/>
                <o:lock v:ext="edit" aspectratio="t"/>
              </v:rect>
            </w:pict>
          </mc:Fallback>
        </mc:AlternateContent>
      </w:r>
      <w:r>
        <w:rPr>
          <w:rFonts w:cs="Times New Roman"/>
          <w:color w:val="000000" w:themeColor="text1"/>
          <w:sz w:val="21"/>
          <w:szCs w:val="24"/>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2027555</wp:posOffset>
                </wp:positionH>
                <wp:positionV relativeFrom="paragraph">
                  <wp:posOffset>213995</wp:posOffset>
                </wp:positionV>
                <wp:extent cx="1149350" cy="297815"/>
                <wp:effectExtent l="4445" t="4445" r="8255" b="21590"/>
                <wp:wrapNone/>
                <wp:docPr id="5" name="Rectangle 234"/>
                <wp:cNvGraphicFramePr/>
                <a:graphic xmlns:a="http://schemas.openxmlformats.org/drawingml/2006/main">
                  <a:graphicData uri="http://schemas.microsoft.com/office/word/2010/wordprocessingShape">
                    <wps:wsp>
                      <wps:cNvSpPr/>
                      <wps:spPr>
                        <a:xfrm>
                          <a:off x="0" y="0"/>
                          <a:ext cx="1149350"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102" w:firstLineChars="49"/>
                              <w:jc w:val="center"/>
                              <w:rPr>
                                <w:rFonts w:ascii="仿宋" w:hAnsi="仿宋" w:cs="仿宋"/>
                                <w:sz w:val="21"/>
                                <w:szCs w:val="24"/>
                              </w:rPr>
                            </w:pPr>
                            <w:r>
                              <w:rPr>
                                <w:rFonts w:hint="eastAsia" w:ascii="仿宋" w:hAnsi="仿宋" w:cs="仿宋"/>
                                <w:sz w:val="21"/>
                                <w:szCs w:val="24"/>
                              </w:rPr>
                              <w:t>总指挥</w:t>
                            </w:r>
                          </w:p>
                        </w:txbxContent>
                      </wps:txbx>
                      <wps:bodyPr upright="1"/>
                    </wps:wsp>
                  </a:graphicData>
                </a:graphic>
              </wp:anchor>
            </w:drawing>
          </mc:Choice>
          <mc:Fallback>
            <w:pict>
              <v:rect id="Rectangle 234" o:spid="_x0000_s1026" o:spt="1" style="position:absolute;left:0pt;margin-left:159.65pt;margin-top:16.85pt;height:23.45pt;width:90.5pt;z-index:251668480;mso-width-relative:page;mso-height-relative:page;" fillcolor="#FFFFFF" filled="t" stroked="t" coordsize="21600,21600" o:gfxdata="UEsDBAoAAAAAAIdO4kAAAAAAAAAAAAAAAAAEAAAAZHJzL1BLAwQUAAAACACHTuJA05IO9tcAAAAJ&#10;AQAADwAAAGRycy9kb3ducmV2LnhtbE2PPU/DMBCGdyT+g3VIbNROI0qbxukAKhJjmy5sl/hIUmI7&#10;ip028Os5Jtju49F7z+W72fbiQmPovNOQLBQIcrU3nWs0nMr9wxpEiOgM9t6Rhi8KsCtub3LMjL+6&#10;A12OsREc4kKGGtoYh0zKULdkMSz8QI53H360GLkdG2lGvHK47eVSqZW02Dm+0OJAzy3Vn8fJaqi6&#10;5Qm/D+Wrspt9Gt/m8jy9v2h9f5eoLYhIc/yD4Vef1aFgp8pPzgTRa0iTTcooF+kTCAYeleJBpWGt&#10;ViCLXP7/oPgBUEsDBBQAAAAIAIdO4kCWP6av+QEAAC4EAAAOAAAAZHJzL2Uyb0RvYy54bWytU02T&#10;0zAMvTPDf/D4TtN0t7DNNN0DpVwY2GHhB6iOk3jGX2O5TfrvkZ1u9wMOPZCDI9nyk96TvL4fjWZH&#10;GVA5W/NyNudMWuEaZbua//61+3DHGUawDWhnZc1PEvn95v279eAruXC9040MjEAsVoOveR+jr4oC&#10;RS8N4Mx5aemwdcFAJDd0RRNgIHSji8V8/rEYXGh8cEIi0u52OuRnxHANoGtbJeTWiYORNk6oQWqI&#10;RAl75ZFvcrVtK0X80bYoI9M1J6Yxr5SE7H1ai80aqi6A75U4lwDXlPCGkwFlKekFagsR2CGov6CM&#10;EsGha+NMOFNMRLIixKKcv9HmsQcvMxeSGv1FdPx/sOL78SEw1dR8yZkFQw3/SaKB7bRki5vbJNDg&#10;saK4R/8Qzh6SmdiObTDpTzzYmEU9XUSVY2SCNsvydnWzJL0FnS1Wn+7KZQItnm/7gPGrdIYlo+aB&#10;8mct4fgN4xT6FJKSodOq2SmtsxO6/Wcd2BGowbv8ndFfhWnLhpqvlgtiKYCmtqVpIdN4Yo62y/le&#10;3cCXwPP8/Qs4FbYF7KcCMkIKg8qoKEO2egnNF9uwePKkrqVHxVMxRjacaUlvMFk5MoLS10SSdtqS&#10;hKkxUyuSFcf9SDDJ3LvmRG09+KC6niQtc+nphMYoa38e+TSnL/0M+vzMN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5IO9tcAAAAJAQAADwAAAAAAAAABACAAAAAiAAAAZHJzL2Rvd25yZXYueG1s&#10;UEsBAhQAFAAAAAgAh07iQJY/pq/5AQAALgQAAA4AAAAAAAAAAQAgAAAAJgEAAGRycy9lMm9Eb2Mu&#10;eG1sUEsFBgAAAAAGAAYAWQEAAJEFAAAAAA==&#10;">
                <v:fill on="t" focussize="0,0"/>
                <v:stroke color="#000000" joinstyle="miter"/>
                <v:imagedata o:title=""/>
                <o:lock v:ext="edit" aspectratio="f"/>
                <v:textbox>
                  <w:txbxContent>
                    <w:p>
                      <w:pPr>
                        <w:spacing w:line="240" w:lineRule="auto"/>
                        <w:ind w:firstLine="102" w:firstLineChars="49"/>
                        <w:jc w:val="center"/>
                        <w:rPr>
                          <w:rFonts w:ascii="仿宋" w:hAnsi="仿宋" w:cs="仿宋"/>
                          <w:sz w:val="21"/>
                          <w:szCs w:val="24"/>
                        </w:rPr>
                      </w:pPr>
                      <w:r>
                        <w:rPr>
                          <w:rFonts w:hint="eastAsia" w:ascii="仿宋" w:hAnsi="仿宋" w:cs="仿宋"/>
                          <w:sz w:val="21"/>
                          <w:szCs w:val="24"/>
                        </w:rPr>
                        <w:t>总指挥</w:t>
                      </w:r>
                    </w:p>
                  </w:txbxContent>
                </v:textbox>
              </v:rect>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3181350</wp:posOffset>
                </wp:positionH>
                <wp:positionV relativeFrom="paragraph">
                  <wp:posOffset>22225</wp:posOffset>
                </wp:positionV>
                <wp:extent cx="495300" cy="635"/>
                <wp:effectExtent l="0" t="52070" r="0" b="61595"/>
                <wp:wrapNone/>
                <wp:docPr id="27" name="直线 68"/>
                <wp:cNvGraphicFramePr/>
                <a:graphic xmlns:a="http://schemas.openxmlformats.org/drawingml/2006/main">
                  <a:graphicData uri="http://schemas.microsoft.com/office/word/2010/wordprocessingShape">
                    <wps:wsp>
                      <wps:cNvCnPr/>
                      <wps:spPr>
                        <a:xfrm>
                          <a:off x="0" y="0"/>
                          <a:ext cx="495300" cy="635"/>
                        </a:xfrm>
                        <a:prstGeom prst="line">
                          <a:avLst/>
                        </a:prstGeom>
                        <a:ln w="15875" cap="flat" cmpd="sng">
                          <a:solidFill>
                            <a:srgbClr val="000000"/>
                          </a:solidFill>
                          <a:prstDash val="solid"/>
                          <a:headEnd type="arrow" w="med" len="med"/>
                          <a:tailEnd type="arrow" w="med" len="med"/>
                        </a:ln>
                      </wps:spPr>
                      <wps:bodyPr upright="1"/>
                    </wps:wsp>
                  </a:graphicData>
                </a:graphic>
              </wp:anchor>
            </w:drawing>
          </mc:Choice>
          <mc:Fallback>
            <w:pict>
              <v:line id="直线 68" o:spid="_x0000_s1026" o:spt="20" style="position:absolute;left:0pt;margin-left:250.5pt;margin-top:1.75pt;height:0.05pt;width:39pt;z-index:251686912;mso-width-relative:page;mso-height-relative:page;" filled="f" stroked="t" coordsize="21600,21600" o:gfxdata="UEsDBAoAAAAAAIdO4kAAAAAAAAAAAAAAAAAEAAAAZHJzL1BLAwQUAAAACACHTuJAN/sjDdUAAAAH&#10;AQAADwAAAGRycy9kb3ducmV2LnhtbE2PwU7DMBBE70j8g7VI3KgdSgqEOBUp4lZVauHCzYmXJMJe&#10;R7HblL9nOcFxNKs3b8v12TtxwikOgTRkCwUCqQ12oE7D+9vrzQOImAxZ4wKhhm+MsK4uL0pT2DDT&#10;Hk+H1AmGUCyMhj6lsZAytj16ExdhROLuM0zeJI5TJ+1kZoZ7J2+VWklvBuKF3oy46bH9Ohw9U17a&#10;3V0+fTTb3WY7L+u6duPzXuvrq0w9gUh4Tn/H8KvP6lCxUxOOZKNwGnKV8S9JwzIHwX1+/8i54bwC&#10;WZXyv3/1A1BLAwQUAAAACACHTuJAOG72xOwBAADhAwAADgAAAGRycy9lMm9Eb2MueG1srVNLktMw&#10;EN1TxR1U2hMnGZIJrjizmDBsKEjVwAE6smyrSr9qKXFyFq7Big3HmWvQkk0Ghk0WeCG31E9P/V5L&#10;67uT0ewoMShnKz6bTDmTVrha2bbiX788vFlxFiLYGrSzsuJnGfjd5vWrde9LOXed07VERiQ2lL2v&#10;eBejL4siiE4aCBPnpaVk49BApCm2RY3QE7vRxXw6XRa9w9qjEzIEWt0OST4y4jWErmmUkFsnDkba&#10;OLCi1BBJUuiUD3yTq20aKeLnpgkyMl1xUhrzSIdQvE9jsVlD2SL4TomxBLimhBeaDChLh16othCB&#10;HVD9Q2WUQBdcEyfCmWIQkh0hFbPpC28eO/AyayGrg7+YHv4frfh03CFTdcXnt5xZMNTxp2/fn378&#10;ZMtVcqf3oSTQvd3hOAt+h0nqqUGT/iSCnbKj54uj8hSZoMW37xY3U/JaUGp5s0iExfNOjyF+kM6w&#10;FFRcK5vUQgnHjyEO0N+QtKwt6+nGLla3C2IEunsN9ZxC46n+YNu8OTit6gelddoSsN3fa2RHSP3P&#10;31jDX7B0yhZCN+ByKsGg7CTU723N4tmTMYDoep6KMLLmTEt6QCnK0AhKXwUlA7QlH5Kzg5cp2rv6&#10;TJ04eFRtR2bMcp0pQ53Pro23NF2tP+eZ6fllbn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sj&#10;DdUAAAAHAQAADwAAAAAAAAABACAAAAAiAAAAZHJzL2Rvd25yZXYueG1sUEsBAhQAFAAAAAgAh07i&#10;QDhu9sTsAQAA4QMAAA4AAAAAAAAAAQAgAAAAJAEAAGRycy9lMm9Eb2MueG1sUEsFBgAAAAAGAAYA&#10;WQEAAIIFAAAAAA==&#10;">
                <v:fill on="f" focussize="0,0"/>
                <v:stroke weight="1.25pt" color="#000000" joinstyle="round" startarrow="open" endarrow="open"/>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2614930</wp:posOffset>
                </wp:positionH>
                <wp:positionV relativeFrom="paragraph">
                  <wp:posOffset>193675</wp:posOffset>
                </wp:positionV>
                <wp:extent cx="635" cy="198120"/>
                <wp:effectExtent l="38100" t="0" r="37465" b="11430"/>
                <wp:wrapNone/>
                <wp:docPr id="6" name="Line 235"/>
                <wp:cNvGraphicFramePr/>
                <a:graphic xmlns:a="http://schemas.openxmlformats.org/drawingml/2006/main">
                  <a:graphicData uri="http://schemas.microsoft.com/office/word/2010/wordprocessingShape">
                    <wps:wsp>
                      <wps:cNvCnPr/>
                      <wps:spPr>
                        <a:xfrm flipH="1">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Line 235" o:spid="_x0000_s1026" o:spt="20" style="position:absolute;left:0pt;flip:x;margin-left:205.9pt;margin-top:15.25pt;height:15.6pt;width:0.05pt;z-index:251669504;mso-width-relative:page;mso-height-relative:page;" filled="f" stroked="t" coordsize="21600,21600" o:gfxdata="UEsDBAoAAAAAAIdO4kAAAAAAAAAAAAAAAAAEAAAAZHJzL1BLAwQUAAAACACHTuJAhazRFtkAAAAJ&#10;AQAADwAAAGRycy9kb3ducmV2LnhtbE2PwU7DMBBE70j8g7VI3KhtaAsN2fSAQOKEaIuQuLnxkoTG&#10;62C7TeHrMSc47uxo5k25PLpeHCjEzjOCnigQxLW3HTcIL5uHixsQMRm2pvdMCF8UYVmdnpSmsH7k&#10;FR3WqRE5hGNhENqUhkLKWLfkTJz4gTj/3n1wJuUzNNIGM+Zw18tLpebSmY5zQ2sGumup3q33DmGx&#10;GWf+Oexep7r7fPu+/0jD41NCPD/T6hZEomP6M8MvfkaHKjNt/Z5tFD3CVOuMnhCu1AxENmRhAWKL&#10;MNfXIKtS/l9Q/QBQSwMEFAAAAAgAh07iQGDi0IftAQAA6gMAAA4AAABkcnMvZTJvRG9jLnhtbK1T&#10;y27bMBC8F+g/ELzXsl3ESATLOcRNewhaA00/YM2HRIAvcGnL/vsuKddpUxTIoToIS+5wdme4XN+f&#10;nGVHldAE3/HFbM6Z8iJI4/uO/3h+/HDLGWbwEmzwquNnhfx+8/7deoytWoYhWKkSIxKP7Rg7PuQc&#10;26ZBMSgHOAtReUrqkBxkWqa+kQlGYne2Wc7nq2YMScYUhEKk3e2U5BfG9BbCoLURahvEwSmfJ9ak&#10;LGSShIOJyDe1W62VyN+0RpWZ7TgpzfVPRSjel3+zWUPbJ4iDEZcW4C0tvNLkwHgqeqXaQgZ2SOYv&#10;KmdEChh0nongmklIdYRULOavvPk+QFRVC1mN8Wo6/j9a8fW4S8zIjq848+Dowp+MV2z58aZ4M0Zs&#10;CfLgd+mywrhLRehJJ8e0NfELDVGVTmLYqTp7vjqrTpkJ2lwRHRO0v7i7XSyr7c3EUbhiwvxZBcdK&#10;0HFLDVRGOD5hproE/QUpcOvZ2PG7m2XhBBpBTVdPoYskA31fz2KwRj4aa8sJTP3+wSZ2hDIG9Svq&#10;iPcPWCmyBRwmXE1NAzIokJ+8ZPkcySBP74KXFpySnFlFz6hERAhtBmNfkDkZ8L39B5rKW09dFJMn&#10;W0u0D/JMV3KIyfQDubGonZYMjUDt+TKuZcZ+X1emlye6+Q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FrNEW2QAAAAkBAAAPAAAAAAAAAAEAIAAAACIAAABkcnMvZG93bnJldi54bWxQSwECFAAUAAAA&#10;CACHTuJAYOLQh+0BAADqAwAADgAAAAAAAAABACAAAAAoAQAAZHJzL2Uyb0RvYy54bWxQSwUGAAAA&#10;AAYABgBZAQAAhwUAAAAA&#10;">
                <v:fill on="f" focussize="0,0"/>
                <v:stroke color="#000000" joinstyle="round" endarrow="block"/>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3470910</wp:posOffset>
                </wp:positionH>
                <wp:positionV relativeFrom="paragraph">
                  <wp:posOffset>110338235</wp:posOffset>
                </wp:positionV>
                <wp:extent cx="927735" cy="7620"/>
                <wp:effectExtent l="0" t="0" r="0" b="0"/>
                <wp:wrapNone/>
                <wp:docPr id="16" name="AutoShape 254"/>
                <wp:cNvGraphicFramePr/>
                <a:graphic xmlns:a="http://schemas.openxmlformats.org/drawingml/2006/main">
                  <a:graphicData uri="http://schemas.microsoft.com/office/word/2010/wordprocessingShape">
                    <wps:wsp>
                      <wps:cNvCnPr/>
                      <wps:spPr>
                        <a:xfrm>
                          <a:off x="0" y="0"/>
                          <a:ext cx="927735" cy="7620"/>
                        </a:xfrm>
                        <a:prstGeom prst="straightConnector1">
                          <a:avLst/>
                        </a:prstGeom>
                        <a:ln w="9525" cap="flat" cmpd="sng">
                          <a:solidFill>
                            <a:srgbClr val="000000"/>
                          </a:solidFill>
                          <a:prstDash val="lgDash"/>
                          <a:headEnd type="none" w="med" len="med"/>
                          <a:tailEnd type="none" w="med" len="med"/>
                        </a:ln>
                      </wps:spPr>
                      <wps:bodyPr/>
                    </wps:wsp>
                  </a:graphicData>
                </a:graphic>
              </wp:anchor>
            </w:drawing>
          </mc:Choice>
          <mc:Fallback>
            <w:pict>
              <v:shape id="AutoShape 254" o:spid="_x0000_s1026" o:spt="32" type="#_x0000_t32" style="position:absolute;left:0pt;margin-left:273.3pt;margin-top:8688.05pt;height:0.6pt;width:73.05pt;z-index:251678720;mso-width-relative:page;mso-height-relative:page;" filled="f" stroked="t" coordsize="21600,21600" o:gfxdata="UEsDBAoAAAAAAIdO4kAAAAAAAAAAAAAAAAAEAAAAZHJzL1BLAwQUAAAACACHTuJANnNh7dwAAAAP&#10;AQAADwAAAGRycy9kb3ducmV2LnhtbE2PPU/DMBCGdyT+g3VIbNROCk6TxqlUJAYEC6UMbG58+RCx&#10;HWynCf8eIwYY795H7z1X7hY9kDM631sjIFkxIGhqq3rTCji+PtxsgPggjZKDNSjgCz3sqsuLUhbK&#10;zuYFz4fQklhifCEFdCGMBaW+7lBLv7Ijmpg11mkZ4uhaqpycY7keaMoYp1r2Jl7o5Ij3HdYfh0kL&#10;aN7zxymf2PPxad+4z/ltjzZdhLi+StgWSMAl/MHwox/VoYpOJzsZ5ckg4O6W84jGIFtnPAESGZ6n&#10;GZDT7y5bA61K+v+P6htQSwMEFAAAAAgAh07iQP4v/oTkAQAA5gMAAA4AAABkcnMvZTJvRG9jLnht&#10;bK1Ty67TMBDdI/EPlvc0baC9EDW9Qi2XDYJKwAdMbSex5Jc8btP+PWOn9MJl0wVZOOPHnDPneLx+&#10;PFvDTiqi9q7li9mcM+WEl9r1Lf/54+nNe84wgZNgvFMtvyjkj5vXr9ZjaFTtB2+kioxAHDZjaPmQ&#10;UmiqCsWgLODMB+Vos/PRQqJp7CsZYSR0a6p6Pl9Vo48yRC8UIq3upk1+RYz3APqu00LtvDha5dKE&#10;GpWBRJJw0AH5plTbdUqkb12HKjHTclKaykgkFB/yWG3W0PQRwqDFtQS4p4QXmixoR6Q3qB0kYMeo&#10;/4GyWkSPvksz4W01CSmOkIrF/IU33wcIqmghqzHcTMf/Byu+nvaRaUmdsOLMgaUb/3hMvlCzevku&#10;OzQGbOjg1u3jdYZhH7Pccxdt/pMQdi6uXm6uqnNighY/1A8Pb5ecCdp6WNXF8+o5NURMn5W3LAct&#10;xxRB90Paeufo9nxcFF/h9AUTkVPi74TMaxwbiWFZZ3ygbuyoCyi0gRSh60sueqPlkzYmZ2DsD1sT&#10;2QlyR5QvSyTcv45lkh3gMJ0zfY6nZhkUyE9OsnQJ5JWjN8JzDVZJzoyiJ5UjQoQmgTb3nCRu46iE&#10;bPNkbI4OXl6K32Wdrr8UeW3V3F9/zkv28/Pc/A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2c2Ht&#10;3AAAAA8BAAAPAAAAAAAAAAEAIAAAACIAAABkcnMvZG93bnJldi54bWxQSwECFAAUAAAACACHTuJA&#10;/i/+hOQBAADmAwAADgAAAAAAAAABACAAAAArAQAAZHJzL2Uyb0RvYy54bWxQSwUGAAAAAAYABgBZ&#10;AQAAgQUAAAAA&#10;">
                <v:fill on="f" focussize="0,0"/>
                <v:stroke color="#000000" joinstyle="round" dashstyle="longDash"/>
                <v:imagedata o:title=""/>
                <o:lock v:ext="edit" aspectratio="f"/>
              </v:shape>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3162300</wp:posOffset>
                </wp:positionH>
                <wp:positionV relativeFrom="paragraph">
                  <wp:posOffset>322580</wp:posOffset>
                </wp:positionV>
                <wp:extent cx="847725" cy="376555"/>
                <wp:effectExtent l="7620" t="7620" r="20955" b="15875"/>
                <wp:wrapNone/>
                <wp:docPr id="64" name="文本框 71"/>
                <wp:cNvGraphicFramePr/>
                <a:graphic xmlns:a="http://schemas.openxmlformats.org/drawingml/2006/main">
                  <a:graphicData uri="http://schemas.microsoft.com/office/word/2010/wordprocessingShape">
                    <wps:wsp>
                      <wps:cNvSpPr txBox="1"/>
                      <wps:spPr>
                        <a:xfrm>
                          <a:off x="0" y="0"/>
                          <a:ext cx="847725" cy="376555"/>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spacing w:line="240" w:lineRule="auto"/>
                              <w:ind w:firstLine="480"/>
                              <w:rPr>
                                <w:rFonts w:ascii="仿宋" w:hAnsi="仿宋" w:cs="仿宋"/>
                                <w:sz w:val="24"/>
                                <w:szCs w:val="24"/>
                              </w:rPr>
                            </w:pPr>
                            <w:r>
                              <w:rPr>
                                <w:rFonts w:hint="eastAsia" w:ascii="仿宋" w:hAnsi="仿宋" w:cs="仿宋"/>
                                <w:sz w:val="24"/>
                                <w:szCs w:val="24"/>
                              </w:rPr>
                              <w:t>信息反馈</w:t>
                            </w:r>
                          </w:p>
                        </w:txbxContent>
                      </wps:txbx>
                      <wps:bodyPr upright="1"/>
                    </wps:wsp>
                  </a:graphicData>
                </a:graphic>
              </wp:anchor>
            </w:drawing>
          </mc:Choice>
          <mc:Fallback>
            <w:pict>
              <v:shape id="文本框 71" o:spid="_x0000_s1026" o:spt="202" type="#_x0000_t202" style="position:absolute;left:0pt;margin-left:249pt;margin-top:25.4pt;height:29.65pt;width:66.75pt;z-index:251692032;mso-width-relative:page;mso-height-relative:page;" fillcolor="#FFFFFF" filled="t" stroked="t" coordsize="21600,21600" o:gfxdata="UEsDBAoAAAAAAIdO4kAAAAAAAAAAAAAAAAAEAAAAZHJzL1BLAwQUAAAACACHTuJAU96Lg9kAAAAK&#10;AQAADwAAAGRycy9kb3ducmV2LnhtbE2PwU7DMBBE70j8g7VIXKrWTqClhDiVqAoSR0oPHLexG0eN&#10;11HstoGvZznBcbWjmffK1eg7cbZDbANpyGYKhKU6mJYaDbuPl+kSRExIBrtAVsOXjbCqrq9KLEy4&#10;0Ls9b1MjuIRigRpcSn0hZayd9RhnobfEv0MYPCY+h0aaAS9c7juZK7WQHlviBYe9XTtbH7cnr+G1&#10;nnwe3zZq8oCb3OF6dN/54Vnr25tMPYFIdkx/YfjFZ3SomGkfTmSi6DTcPy7ZJWmYK1bgwOIum4PY&#10;czJTGciqlP8Vqh9QSwMEFAAAAAgAh07iQCIjSHEIAgAAOAQAAA4AAABkcnMvZTJvRG9jLnhtbK1T&#10;S44TMRDdI3EHy3vSSZh81EpnJAhhgwBp4ACO7e625J9cTrpzAbgBKzbsOVfOQdmdyTAzmyymF+5y&#10;ufzq1avy6rY3mhxkAOVsRSejMSXScieUbSr6/dv2zZISiMwKpp2VFT1KoLfr169WnS/l1LVOCxkI&#10;glgoO1/RNkZfFgXwVhoGI+elxcPaBcMibkNTiMA6RDe6mI7H86JzQfjguARA72Y4pGfEcA2gq2vF&#10;5cbxvZE2DqhBahaxJGiVB7rObOta8vilrkFGoiuKlca8YhK0d2kt1itWNoH5VvEzBXYNhSc1GaYs&#10;Jr1AbVhkZB/UMyijeHDg6jjizhRDIVkRrGIyfqLNXcu8zLWg1OAvosPLwfLPh6+BKFHR+Q0llhns&#10;+OnXz9Pvv6c/P8hikgTqPJQYd+cxMvbvXI9jc+8HdKa6+zqY9MeKCJ6jvMeLvLKPhKNzebNYTGeU&#10;cDx6u5jPZrOEUjxc9gHiR+kMSUZFA3Yvi8oOnyAOofchKRc4rcRWaZ03odm914EcGHZ6m78z+qMw&#10;bUmH9GfLRSLCcH5rnBs0jUcNwDY54aMrcB1yYrZh0A4MMkIiwEqjogzZaiUTH6wg8ehRZovPiyY2&#10;RgpKtMTXmKwcGZnS10SieNqihqlFQyuSFftdjzDJ3DlxxLbtfVBNi5rmxuVwHKgs/nn408T+v8+g&#10;Dw9+/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T3ouD2QAAAAoBAAAPAAAAAAAAAAEAIAAAACIA&#10;AABkcnMvZG93bnJldi54bWxQSwECFAAUAAAACACHTuJAIiNIcQgCAAA4BAAADgAAAAAAAAABACAA&#10;AAAoAQAAZHJzL2Uyb0RvYy54bWxQSwUGAAAAAAYABgBZAQAAogUAAAAA&#10;">
                <v:fill on="t" focussize="0,0"/>
                <v:stroke weight="1.25pt" color="#FFFFFF" joinstyle="miter"/>
                <v:imagedata o:title=""/>
                <o:lock v:ext="edit" aspectratio="f"/>
                <v:textbox>
                  <w:txbxContent>
                    <w:p>
                      <w:pPr>
                        <w:spacing w:line="240" w:lineRule="auto"/>
                        <w:ind w:firstLine="480"/>
                        <w:rPr>
                          <w:rFonts w:ascii="仿宋" w:hAnsi="仿宋" w:cs="仿宋"/>
                          <w:sz w:val="24"/>
                          <w:szCs w:val="24"/>
                        </w:rPr>
                      </w:pPr>
                      <w:r>
                        <w:rPr>
                          <w:rFonts w:hint="eastAsia" w:ascii="仿宋" w:hAnsi="仿宋" w:cs="仿宋"/>
                          <w:sz w:val="24"/>
                          <w:szCs w:val="24"/>
                        </w:rPr>
                        <w:t>信息反馈</w:t>
                      </w:r>
                    </w:p>
                  </w:txbxContent>
                </v:textbox>
              </v:shap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2131060</wp:posOffset>
                </wp:positionH>
                <wp:positionV relativeFrom="paragraph">
                  <wp:posOffset>61595</wp:posOffset>
                </wp:positionV>
                <wp:extent cx="919480" cy="297180"/>
                <wp:effectExtent l="4445" t="4445" r="9525" b="22225"/>
                <wp:wrapNone/>
                <wp:docPr id="8" name="Rectangle 236"/>
                <wp:cNvGraphicFramePr/>
                <a:graphic xmlns:a="http://schemas.openxmlformats.org/drawingml/2006/main">
                  <a:graphicData uri="http://schemas.microsoft.com/office/word/2010/wordprocessingShape">
                    <wps:wsp>
                      <wps:cNvSpPr/>
                      <wps:spPr>
                        <a:xfrm>
                          <a:off x="0" y="0"/>
                          <a:ext cx="91948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102" w:firstLineChars="49"/>
                              <w:rPr>
                                <w:rFonts w:ascii="仿宋" w:hAnsi="仿宋" w:cs="仿宋"/>
                                <w:sz w:val="21"/>
                                <w:szCs w:val="24"/>
                              </w:rPr>
                            </w:pPr>
                            <w:r>
                              <w:rPr>
                                <w:rFonts w:hint="eastAsia" w:ascii="仿宋" w:hAnsi="仿宋" w:cs="仿宋"/>
                                <w:sz w:val="21"/>
                                <w:szCs w:val="24"/>
                              </w:rPr>
                              <w:t>副总指挥</w:t>
                            </w:r>
                          </w:p>
                        </w:txbxContent>
                      </wps:txbx>
                      <wps:bodyPr upright="1"/>
                    </wps:wsp>
                  </a:graphicData>
                </a:graphic>
              </wp:anchor>
            </w:drawing>
          </mc:Choice>
          <mc:Fallback>
            <w:pict>
              <v:rect id="Rectangle 236" o:spid="_x0000_s1026" o:spt="1" style="position:absolute;left:0pt;margin-left:167.8pt;margin-top:4.85pt;height:23.4pt;width:72.4pt;z-index:251670528;mso-width-relative:page;mso-height-relative:page;" fillcolor="#FFFFFF" filled="t" stroked="t" coordsize="21600,21600" o:gfxdata="UEsDBAoAAAAAAIdO4kAAAAAAAAAAAAAAAAAEAAAAZHJzL1BLAwQUAAAACACHTuJAasHCyNgAAAAI&#10;AQAADwAAAGRycy9kb3ducmV2LnhtbE2PQU+DQBSE7yb+h80z8WZ3Wwq2yKMHTU08tvTi7QEroOxb&#10;wi4t+utdT/U4mcnMN9luNr0469F1lhGWCwVCc2XrjhuEU7F/2IBwnrim3rJG+NYOdvntTUZpbS98&#10;0Oejb0QoYZcSQuv9kErpqlYbcgs7aA7ehx0N+SDHRtYjXUK56eVKqUQa6jgstDTo51ZXX8fJIJTd&#10;6kQ/h+JVme0+8m9z8Tm9vyDe3y3VEwivZ38Nwx9+QIc8MJV24tqJHiGK4iREEbaPIIK/3qg1iBIh&#10;TmKQeSb/H8h/AVBLAwQUAAAACACHTuJA3+e8vPYBAAAtBAAADgAAAGRycy9lMm9Eb2MueG1srVPL&#10;ktMwELxTxT+odCdOArtsXHH2QAgXCrZY+ABFGtuq0qs0Suz8PSM5ZB9wyAEf7JY16pnuGa3vR2vY&#10;ESJq7xq+mM05Aye90q5r+K+fu3d3nGESTgnjHTT8BMjvN2/frIdQw9L33iiIjEgc1kNoeJ9SqKsK&#10;ZQ9W4MwHcLTZ+mhFomXsKhXFQOzWVMv5/LYafFQhegmI9Hc7bfIzY7yG0LetlrD18mDBpYk1ghGJ&#10;JGGvA/JNqbZtQabvbYuQmGk4KU3lTUkI7/O72qxF3UURei3PJYhrSnilyQrtKOmFaiuSYIeo/6Ky&#10;WkaPvk0z6W01CSmOkIrF/JU3j70IULSQ1RgupuP/o5Xfjg+RadVwarsTlhr+g0wTrjPAlu9vs0FD&#10;wJriHsNDPK+QYFY7ttHmL+lgYzH1dDEVxsQk/VwtVh/uyG5JW8vVxwVhYqmeDoeI6Qt4yzJoeKT0&#10;xUpx/IppCv0TknOhN1rttDFlEbv9JxPZUVB/d+U5s78IM44NVMnN8obqEDS0LQ0LQRtIOLqu5Htx&#10;Ap8Tz8vzL+Jc2FZgPxVQGHKYqK1OEAvqQajPTrF0CmSuozvFczEWFGcG6ApmVCKT0OaaSPLOOLIw&#10;92XqREZp3I9Ek+HeqxN19RCi7nqydFFKzzs0RcX788TnMX2+LqRPt3zz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rBwsjYAAAACAEAAA8AAAAAAAAAAQAgAAAAIgAAAGRycy9kb3ducmV2LnhtbFBL&#10;AQIUABQAAAAIAIdO4kDf57y89gEAAC0EAAAOAAAAAAAAAAEAIAAAACcBAABkcnMvZTJvRG9jLnht&#10;bFBLBQYAAAAABgAGAFkBAACPBQAAAAA=&#10;">
                <v:fill on="t" focussize="0,0"/>
                <v:stroke color="#000000" joinstyle="miter"/>
                <v:imagedata o:title=""/>
                <o:lock v:ext="edit" aspectratio="f"/>
                <v:textbox>
                  <w:txbxContent>
                    <w:p>
                      <w:pPr>
                        <w:spacing w:line="240" w:lineRule="auto"/>
                        <w:ind w:firstLine="102" w:firstLineChars="49"/>
                        <w:rPr>
                          <w:rFonts w:ascii="仿宋" w:hAnsi="仿宋" w:cs="仿宋"/>
                          <w:sz w:val="21"/>
                          <w:szCs w:val="24"/>
                        </w:rPr>
                      </w:pPr>
                      <w:r>
                        <w:rPr>
                          <w:rFonts w:hint="eastAsia" w:ascii="仿宋" w:hAnsi="仿宋" w:cs="仿宋"/>
                          <w:sz w:val="21"/>
                          <w:szCs w:val="24"/>
                        </w:rPr>
                        <w:t>副总指挥</w:t>
                      </w:r>
                    </w:p>
                  </w:txbxContent>
                </v:textbox>
              </v:rect>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2847975</wp:posOffset>
                </wp:positionH>
                <wp:positionV relativeFrom="paragraph">
                  <wp:posOffset>163830</wp:posOffset>
                </wp:positionV>
                <wp:extent cx="333375" cy="635"/>
                <wp:effectExtent l="8255" t="52070" r="1270" b="61595"/>
                <wp:wrapNone/>
                <wp:docPr id="42" name="直线 73"/>
                <wp:cNvGraphicFramePr/>
                <a:graphic xmlns:a="http://schemas.openxmlformats.org/drawingml/2006/main">
                  <a:graphicData uri="http://schemas.microsoft.com/office/word/2010/wordprocessingShape">
                    <wps:wsp>
                      <wps:cNvCnPr/>
                      <wps:spPr>
                        <a:xfrm>
                          <a:off x="0" y="0"/>
                          <a:ext cx="333375" cy="635"/>
                        </a:xfrm>
                        <a:prstGeom prst="line">
                          <a:avLst/>
                        </a:prstGeom>
                        <a:ln w="15875" cap="sq" cmpd="sng">
                          <a:solidFill>
                            <a:srgbClr val="000000"/>
                          </a:solidFill>
                          <a:prstDash val="sysDot"/>
                          <a:headEnd type="none" w="med" len="med"/>
                          <a:tailEnd type="arrow" w="med" len="med"/>
                        </a:ln>
                      </wps:spPr>
                      <wps:bodyPr upright="1"/>
                    </wps:wsp>
                  </a:graphicData>
                </a:graphic>
              </wp:anchor>
            </w:drawing>
          </mc:Choice>
          <mc:Fallback>
            <w:pict>
              <v:line id="直线 73" o:spid="_x0000_s1026" o:spt="20" style="position:absolute;left:0pt;margin-left:224.25pt;margin-top:12.9pt;height:0.05pt;width:26.25pt;z-index:251691008;mso-width-relative:page;mso-height-relative:page;" filled="f" stroked="t" coordsize="21600,21600" o:gfxdata="UEsDBAoAAAAAAIdO4kAAAAAAAAAAAAAAAAAEAAAAZHJzL1BLAwQUAAAACACHTuJAsst6EtgAAAAJ&#10;AQAADwAAAGRycy9kb3ducmV2LnhtbE2PTU+DQBCG7yb+h8008WYXmmKQsjSmxoNRm4heuG3ZKZCy&#10;s4TdFvz3Tk96nHeevB/5dra9uODoO0cK4mUEAql2pqNGwffXy30KwgdNRveOUMEPetgWtze5zoyb&#10;6BMvZWgEm5DPtII2hCGT0tctWu2XbkDi39GNVgc+x0aaUU9sbnu5iqIHaXVHnNDqAXct1qfybDnk&#10;1H3Q9Fztqtc5PVb7pzK8vZdK3S3iaAMi4Bz+YLjW5+pQcKeDO5PxolewXqcJowpWCU9gIIliHne4&#10;Co8gi1z+X1D8AlBLAwQUAAAACACHTuJA+WE3h+8BAADfAwAADgAAAGRycy9lMm9Eb2MueG1srVNL&#10;jhMxEN0jcQfLe9L5kJlRK51ZTBg2CEYCDlCx3d2W/MPlpJOzcA1WbDjOXIOyOyQwsJgFvXCXXc/P&#10;9V7Zq9uDNWyvImrvGj6bTDlTTnipXdfwz5/uX91whgmcBOOdavhRIb9dv3yxGkKt5r73RqrIiMRh&#10;PYSG9ymFuqpQ9MoCTnxQjpKtjxYSTWNXyQgDsVtTzafTq2rwUYbohUKk1c2Y5CfG+BxC37ZaqI0X&#10;O6tcGlmjMpBIEvY6IF+XattWifShbVElZhpOSlMZ6RCKt3ms1iuouwih1+JUAjynhCeaLGhHh56p&#10;NpCA7aL+i8pqET36Nk2Et9UopDhCKmbTJ9587CGoooWsxnA2Hf8frXi/f4hMy4a/nnPmwFLHH79+&#10;e/z+g10vsjtDwJpAd+4hnmYYHmKWemijzX8SwQ7F0ePZUXVITNDigr7rJWeCUleLZSasLjtDxPRW&#10;ecty0HCjXVYLNezfYRqhvyB52Tg20I1d3hRGoLuHX4jaBqoeXVe2ojda3mtj8gaM3fbORLaH3P3y&#10;nSr4A5bP2AD2Iw6PuPEp46DuFcg3TrJ0DOSLo/fAcwlWSc6MoueTo4JMoM0FCTH64d9Qkm8cuZB9&#10;HZ3M0dbLI/VhF6LuerJiVurMGep78ex0R/PF+n1emC7vcv0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st6EtgAAAAJAQAADwAAAAAAAAABACAAAAAiAAAAZHJzL2Rvd25yZXYueG1sUEsBAhQAFAAA&#10;AAgAh07iQPlhN4fvAQAA3wMAAA4AAAAAAAAAAQAgAAAAJwEAAGRycy9lMm9Eb2MueG1sUEsFBgAA&#10;AAAGAAYAWQEAAIgFAAAAAA==&#10;">
                <v:fill on="f" focussize="0,0"/>
                <v:stroke weight="1.25pt" color="#000000" joinstyle="round" dashstyle="1 1" endcap="square" endarrow="open"/>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1933575</wp:posOffset>
                </wp:positionH>
                <wp:positionV relativeFrom="paragraph">
                  <wp:posOffset>163830</wp:posOffset>
                </wp:positionV>
                <wp:extent cx="390525" cy="635"/>
                <wp:effectExtent l="0" t="52070" r="9525" b="61595"/>
                <wp:wrapNone/>
                <wp:docPr id="30" name="直线 74"/>
                <wp:cNvGraphicFramePr/>
                <a:graphic xmlns:a="http://schemas.openxmlformats.org/drawingml/2006/main">
                  <a:graphicData uri="http://schemas.microsoft.com/office/word/2010/wordprocessingShape">
                    <wps:wsp>
                      <wps:cNvCnPr/>
                      <wps:spPr>
                        <a:xfrm flipH="1">
                          <a:off x="0" y="0"/>
                          <a:ext cx="390525" cy="635"/>
                        </a:xfrm>
                        <a:prstGeom prst="line">
                          <a:avLst/>
                        </a:prstGeom>
                        <a:ln w="15875" cap="sq" cmpd="sng">
                          <a:solidFill>
                            <a:srgbClr val="000000"/>
                          </a:solidFill>
                          <a:prstDash val="sysDot"/>
                          <a:headEnd type="none" w="med" len="med"/>
                          <a:tailEnd type="arrow" w="med" len="med"/>
                        </a:ln>
                      </wps:spPr>
                      <wps:bodyPr upright="1"/>
                    </wps:wsp>
                  </a:graphicData>
                </a:graphic>
              </wp:anchor>
            </w:drawing>
          </mc:Choice>
          <mc:Fallback>
            <w:pict>
              <v:line id="直线 74" o:spid="_x0000_s1026" o:spt="20" style="position:absolute;left:0pt;flip:x;margin-left:152.25pt;margin-top:12.9pt;height:0.05pt;width:30.75pt;z-index:251689984;mso-width-relative:page;mso-height-relative:page;" filled="f" stroked="t" coordsize="21600,21600" o:gfxdata="UEsDBAoAAAAAAIdO4kAAAAAAAAAAAAAAAAAEAAAAZHJzL1BLAwQUAAAACACHTuJAHPWpwdkAAAAJ&#10;AQAADwAAAGRycy9kb3ducmV2LnhtbE2PTU/DMAyG70j8h8hI3FjSjlW0NN1haBLiAowPaTev8dpC&#10;k1RNuo1/j3eCo+1Hr5+3XJ5sLw40hs47DclMgSBXe9O5RsP72/rmDkSI6Az23pGGHwqwrC4vSiyM&#10;P7pXOmxiIzjEhQI1tDEOhZShbslimPmBHN/2frQYeRwbaUY8crjtZapUJi12jj+0ONCqpfp7M1kN&#10;24+H/Cn9fMyT9cuEX9vVPk79s9bXV4m6BxHpFP9gOOuzOlTstPOTM0H0GubqdsGohnTBFRiYZxmX&#10;250XOciqlP8bVL9QSwMEFAAAAAgAh07iQDt7H775AQAA6QMAAA4AAABkcnMvZTJvRG9jLnhtbK1T&#10;S3ITMRDdU8UdVNrj8QcnYSrjLGICCwpcBRygLWlmVKUfatljn4VrsGLDcXINWhrjQGCRBbNQtdRP&#10;r/u9aV3fHKxhexVRe9fw2WTKmXLCS+26hn/+dPfiijNM4CQY71TDjwr5zer5s+sh1Grue2+kioxI&#10;HNZDaHifUqirCkWvLODEB+Uo2fpoIdE2dpWMMBC7NdV8Or2oBh9liF4oRDpdj0l+YoxPIfRtq4Va&#10;e7GzyqWRNSoDiSRhrwPyVem2bZVIH9oWVWKm4aQ0lZWKULzNa7W6hrqLEHotTi3AU1p4pMmCdlT0&#10;TLWGBGwX9V9UVovo0bdpIrytRiHFEVIxmz7y5mMPQRUtZDWGs+n4/2jF+/0mMi0bviBLHFj64/df&#10;v91//8EuX2Z3hoA1gW7dJp52GDYxSz200bLW6PCWxqiIJznsULw9nr1Vh8QEHS5eTZfzJWeCUheL&#10;ZaauRo7MFSKmN8pbloOGG+2ybqhh/w7TCP0FycfGsYGKLq8uMyPQFOIXCmwgHei6chW90fJOG5Mv&#10;YOy2tyayPeQ5KN+pgz9gucYasB9xeMS1TxkHda9AvnaSpWMghxy9DJ5bsEpyZhQ9pBwVZAJtHpAQ&#10;ox/+DSX5xpEL2eHR0xxtvTzSH9mFqLuerJiVPnOGJqB4dprWPGK/7wvTwwtd/Q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c9anB2QAAAAkBAAAPAAAAAAAAAAEAIAAAACIAAABkcnMvZG93bnJldi54&#10;bWxQSwECFAAUAAAACACHTuJAO3sfvvkBAADpAwAADgAAAAAAAAABACAAAAAoAQAAZHJzL2Uyb0Rv&#10;Yy54bWxQSwUGAAAAAAYABgBZAQAAkwUAAAAA&#10;">
                <v:fill on="f" focussize="0,0"/>
                <v:stroke weight="1.25pt" color="#000000" joinstyle="round" dashstyle="1 1" endcap="square" endarrow="open"/>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1066800</wp:posOffset>
                </wp:positionH>
                <wp:positionV relativeFrom="paragraph">
                  <wp:posOffset>20955</wp:posOffset>
                </wp:positionV>
                <wp:extent cx="847725" cy="285750"/>
                <wp:effectExtent l="7620" t="7620" r="20955" b="11430"/>
                <wp:wrapNone/>
                <wp:docPr id="29" name="文本框 75"/>
                <wp:cNvGraphicFramePr/>
                <a:graphic xmlns:a="http://schemas.openxmlformats.org/drawingml/2006/main">
                  <a:graphicData uri="http://schemas.microsoft.com/office/word/2010/wordprocessingShape">
                    <wps:wsp>
                      <wps:cNvSpPr txBox="1"/>
                      <wps:spPr>
                        <a:xfrm>
                          <a:off x="0" y="0"/>
                          <a:ext cx="847725" cy="285750"/>
                        </a:xfrm>
                        <a:prstGeom prst="rect">
                          <a:avLst/>
                        </a:prstGeom>
                        <a:solidFill>
                          <a:srgbClr val="FFFFFF"/>
                        </a:solidFill>
                        <a:ln w="15875" cap="flat" cmpd="sng">
                          <a:solidFill>
                            <a:srgbClr val="FFFFFF"/>
                          </a:solidFill>
                          <a:prstDash val="solid"/>
                          <a:miter/>
                          <a:headEnd type="none" w="med" len="med"/>
                          <a:tailEnd type="none" w="med" len="med"/>
                        </a:ln>
                      </wps:spPr>
                      <wps:txbx>
                        <w:txbxContent>
                          <w:p>
                            <w:pPr>
                              <w:spacing w:line="240" w:lineRule="auto"/>
                              <w:ind w:firstLine="480"/>
                              <w:rPr>
                                <w:rFonts w:ascii="仿宋" w:hAnsi="仿宋" w:cs="仿宋"/>
                                <w:sz w:val="24"/>
                                <w:szCs w:val="24"/>
                              </w:rPr>
                            </w:pPr>
                            <w:r>
                              <w:rPr>
                                <w:rFonts w:hint="eastAsia" w:ascii="仿宋" w:hAnsi="仿宋" w:cs="仿宋"/>
                                <w:sz w:val="24"/>
                                <w:szCs w:val="24"/>
                              </w:rPr>
                              <w:t>指令下达</w:t>
                            </w:r>
                          </w:p>
                        </w:txbxContent>
                      </wps:txbx>
                      <wps:bodyPr upright="1"/>
                    </wps:wsp>
                  </a:graphicData>
                </a:graphic>
              </wp:anchor>
            </w:drawing>
          </mc:Choice>
          <mc:Fallback>
            <w:pict>
              <v:shape id="文本框 75" o:spid="_x0000_s1026" o:spt="202" type="#_x0000_t202" style="position:absolute;left:0pt;margin-left:84pt;margin-top:1.65pt;height:22.5pt;width:66.75pt;z-index:251688960;mso-width-relative:page;mso-height-relative:page;" fillcolor="#FFFFFF" filled="t" stroked="t" coordsize="21600,21600" o:gfxdata="UEsDBAoAAAAAAIdO4kAAAAAAAAAAAAAAAAAEAAAAZHJzL1BLAwQUAAAACACHTuJAJ2hn/NgAAAAI&#10;AQAADwAAAGRycy9kb3ducmV2LnhtbE2PwU7DMBBE70j8g7VIXCpqJ4E2CnEqURUkji0cetwmbhw1&#10;Xkex2wa+nuUEx9GMZt6Uq8n14mLG0HnSkMwVCEO1bzpqNXx+vD7kIEJEarD3ZDR8mQCr6vamxKLx&#10;V9qayy62gksoFKjBxjgUUobaGodh7gdD7B396DCyHFvZjHjlctfLVKmFdNgRL1gczNqa+rQ7Ow1v&#10;9Wx/et+o2RI3qcX1ZL/T44vW93eJegYRzRT/wvCLz+hQMdPBn6kJome9yPlL1JBlINjPVPIE4qDh&#10;Mc9AVqX8f6D6AVBLAwQUAAAACACHTuJAYdmZeQkCAAA4BAAADgAAAGRycy9lMm9Eb2MueG1srVNN&#10;jtMwFN4jcQfLe5pORGiJmo4EpWwQIA0cwLWdxJL/5Oc26QXgBqzYsOdcPQfPTqfDDJsuyMJ5tp8/&#10;f9/3nle3o9HkIAMoZxt6M5tTIi13QtmuoV+/bF8sKYHIrGDaWdnQowR6u37+bDX4Wpaud1rIQBDE&#10;Qj34hvYx+roogPfSMJg5Ly1uti4YFnEaukIENiC60UU5n78qBheED45LAFzdTJv0jBiuAXRtq7jc&#10;OL430sYJNUjNIkqCXnmg68y2bSWPn9oWZCS6oag05hEvwXiXxmK9YnUXmO8VP1Ng11B4oskwZfHS&#10;C9SGRUb2Qf0DZRQPDlwbZ9yZYhKSHUEVN/Mn3tz1zMusBa0GfzEd/h8s/3j4HIgSDS1fU2KZwYqf&#10;fnw//fx9+vWNLKpk0OChxrw7j5lxfONGbJv7dcDFpHtsg0l/VERwH+09XuyVYyQcF5cvF4uyooTj&#10;VrmsFlW2v3g47APE99IZkoKGBqxeNpUdPkBEIph6n5LuAqeV2Cqt8yR0u7c6kAPDSm/zlzjikUdp&#10;2pIB6VdLlEY4w/5tsW8wNB49ANvlCx8dgeuQE7MNg35ikBGm7jIqypD7rJdMvLOCxKNHmy0+L5rY&#10;GCko0RJfY4pyZmRKX5OJ8rRFlalEUylSFMfdiDAp3DlxxLLtfVBdj57mwuV0bKhsz7n5U8f+Pc+g&#10;Dw9+/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aGf82AAAAAgBAAAPAAAAAAAAAAEAIAAAACIA&#10;AABkcnMvZG93bnJldi54bWxQSwECFAAUAAAACACHTuJAYdmZeQkCAAA4BAAADgAAAAAAAAABACAA&#10;AAAnAQAAZHJzL2Uyb0RvYy54bWxQSwUGAAAAAAYABgBZAQAAogUAAAAA&#10;">
                <v:fill on="t" focussize="0,0"/>
                <v:stroke weight="1.25pt" color="#FFFFFF" joinstyle="miter"/>
                <v:imagedata o:title=""/>
                <o:lock v:ext="edit" aspectratio="f"/>
                <v:textbox>
                  <w:txbxContent>
                    <w:p>
                      <w:pPr>
                        <w:spacing w:line="240" w:lineRule="auto"/>
                        <w:ind w:firstLine="480"/>
                        <w:rPr>
                          <w:rFonts w:ascii="仿宋" w:hAnsi="仿宋" w:cs="仿宋"/>
                          <w:sz w:val="24"/>
                          <w:szCs w:val="24"/>
                        </w:rPr>
                      </w:pPr>
                      <w:r>
                        <w:rPr>
                          <w:rFonts w:hint="eastAsia" w:ascii="仿宋" w:hAnsi="仿宋" w:cs="仿宋"/>
                          <w:sz w:val="24"/>
                          <w:szCs w:val="24"/>
                        </w:rPr>
                        <w:t>指令下达</w:t>
                      </w:r>
                    </w:p>
                  </w:txbxContent>
                </v:textbox>
              </v:shap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2848610</wp:posOffset>
                </wp:positionH>
                <wp:positionV relativeFrom="paragraph">
                  <wp:posOffset>36195</wp:posOffset>
                </wp:positionV>
                <wp:extent cx="8890" cy="266065"/>
                <wp:effectExtent l="31750" t="0" r="35560" b="635"/>
                <wp:wrapNone/>
                <wp:docPr id="28" name="直线 76"/>
                <wp:cNvGraphicFramePr/>
                <a:graphic xmlns:a="http://schemas.openxmlformats.org/drawingml/2006/main">
                  <a:graphicData uri="http://schemas.microsoft.com/office/word/2010/wordprocessingShape">
                    <wps:wsp>
                      <wps:cNvCnPr/>
                      <wps:spPr>
                        <a:xfrm flipV="1">
                          <a:off x="0" y="0"/>
                          <a:ext cx="8890" cy="2660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76" o:spid="_x0000_s1026" o:spt="20" style="position:absolute;left:0pt;flip:y;margin-left:224.3pt;margin-top:2.85pt;height:20.95pt;width:0.7pt;z-index:251687936;mso-width-relative:page;mso-height-relative:page;" filled="f" stroked="t" coordsize="21600,21600" o:gfxdata="UEsDBAoAAAAAAIdO4kAAAAAAAAAAAAAAAAAEAAAAZHJzL1BLAwQUAAAACACHTuJAAoX3XdkAAAAI&#10;AQAADwAAAGRycy9kb3ducmV2LnhtbE2PwU7DMBBE70j8g7VI3KgdlKRtiNMDAokTghYh9ebGSxIa&#10;r0PsNoWvZ3uC245mNPumXJ1cL444hs6ThmSmQCDV3nbUaHjbPN4sQIRoyJreE2r4xgCr6vKiNIX1&#10;E73icR0bwSUUCqOhjXEopAx1i86EmR+Q2PvwozOR5dhIO5qJy10vb5XKpTMd8YfWDHjfYr1fH5yG&#10;5WbK/Mu4f0+T7mv78/AZh6fnqPX1VaLuQEQ8xb8wnPEZHSpm2vkD2SB6DWm6yDmqIZuDYD/NFG/b&#10;8THPQVal/D+g+gVQSwMEFAAAAAgAh07iQFOPqJD5AQAA7QMAAA4AAABkcnMvZTJvRG9jLnhtbK1T&#10;S44TMRDdI3EHy3vSSaSETCudWUwYNggi8dlXbHe3Jf/kctLJWbgGKzYcZ65B2R0yMAhpFvSiVXY9&#10;P9d7VV7fnqxhRxVRe9fw2WTKmXLCS+26hn/+dP9qxRkmcBKMd6rhZ4X8dvPyxXoItZr73hupIiMS&#10;h/UQGt6nFOqqQtErCzjxQTlKtj5aSLSMXSUjDMRuTTWfTpfV4KMM0QuFSLvbMckvjPE5hL5ttVBb&#10;Lw5WuTSyRmUgkSTsdUC+KdW2rRLpQ9uiSsw0nJSm8qdLKN7nf7VZQ91FCL0WlxLgOSU80WRBO7r0&#10;SrWFBOwQ9V9UVovo0bdpIrytRiHFEVIxmz7x5mMPQRUtZDWGq+n4/2jF++MuMi0bPqe+O7DU8Yev&#10;3x6+/2Cvl9mdIWBNoDu3i5cVhl3MUk9ttKw1OnyhMSriSQ47FW/PV2/VKTFBm6vVDXkuKDFfLqfL&#10;ReauRpJMFiKmt8pbloOGG+2ycKjh+A7TCP0FydvGsaHhN4v5gjiBprCl7lNoAylB15Wz6I2W99qY&#10;fAJjt78zkR0hT0L5LiX8AcuXbAH7EVdSGQZ1r0C+cZKlcyCLHD0NnkuwSnJmFL2kHBVkAm0ekSlq&#10;cJ35B5ocMI6MyC6PvuZo7+WZunIIUXc9uTErleYMTUGx7TKxecx+Xxemx1e6+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Chfdd2QAAAAgBAAAPAAAAAAAAAAEAIAAAACIAAABkcnMvZG93bnJldi54&#10;bWxQSwECFAAUAAAACACHTuJAU4+okPkBAADtAwAADgAAAAAAAAABACAAAAAoAQAAZHJzL2Uyb0Rv&#10;Yy54bWxQSwUGAAAAAAYABgBZAQAAkwUAAAAA&#10;">
                <v:fill on="f" focussize="0,0"/>
                <v:stroke color="#000000" joinstyle="round" endarrow="block"/>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2343150</wp:posOffset>
                </wp:positionH>
                <wp:positionV relativeFrom="paragraph">
                  <wp:posOffset>35560</wp:posOffset>
                </wp:positionV>
                <wp:extent cx="635" cy="286385"/>
                <wp:effectExtent l="38100" t="0" r="37465" b="18415"/>
                <wp:wrapNone/>
                <wp:docPr id="9" name="Line 237"/>
                <wp:cNvGraphicFramePr/>
                <a:graphic xmlns:a="http://schemas.openxmlformats.org/drawingml/2006/main">
                  <a:graphicData uri="http://schemas.microsoft.com/office/word/2010/wordprocessingShape">
                    <wps:wsp>
                      <wps:cNvCnPr/>
                      <wps:spPr>
                        <a:xfrm flipH="1">
                          <a:off x="0" y="0"/>
                          <a:ext cx="635" cy="2863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Line 237" o:spid="_x0000_s1026" o:spt="20" style="position:absolute;left:0pt;flip:x;margin-left:184.5pt;margin-top:2.8pt;height:22.55pt;width:0.05pt;z-index:251671552;mso-width-relative:page;mso-height-relative:page;" filled="f" stroked="t" coordsize="21600,21600" o:gfxdata="UEsDBAoAAAAAAIdO4kAAAAAAAAAAAAAAAAAEAAAAZHJzL1BLAwQUAAAACACHTuJAeqImSNcAAAAI&#10;AQAADwAAAGRycy9kb3ducmV2LnhtbE2PwU7DMBBE70j8g7VI3KgdoIGGOD0gkDghaBESNzdZktB4&#10;HextU/h6lhMcn2Y1+6ZcHvyg9hhTH8hCNjOgkOrQ9NRaeFnfn12DSuyocUMgtPCFCZbV8VHpiiZM&#10;9Iz7FbdKSigVzkLHPBZap7pD79IsjEiSvYfoHQvGVjfRTVLuB31uTK6960k+dG7E2w7r7WrnLSzW&#10;0zw8xe3rZdZ/vn3fffD48MjWnp5k5gYU44H/juFXX9ShEqdN2FGT1GDhIl/IFrYwz0FJLpyB2gib&#10;K9BVqf8PqH4AUEsDBBQAAAAIAIdO4kDOdFrg6wEAAOoDAAAOAAAAZHJzL2Uyb0RvYy54bWytU8tu&#10;2zAQvBfoPxC81/IDdl3Bcg5x0x6C1kCbD1hTpESAL3Bpy/77LinXaVMEyKE6CEtyOJwZLjd3Z2vY&#10;SUbU3jV8NplyJp3wrXZdw59+PnxYc4YJXAvGO9nwi0R+t33/bjOEWs59700rIyMSh/UQGt6nFOqq&#10;QtFLCzjxQTpaVD5aSDSMXdVGGIjdmmo+na6qwcc2RC8kIs3uxkV+ZYxvIfRKaSF3XhytdGlkjdJA&#10;IkvY64B8W9QqJUX6rhTKxEzDyWkqfzqE6kP+V9sN1F2E0GtxlQBvkfDCkwXt6NAb1Q4SsGPU/1BZ&#10;LaJHr9JEeFuNRkoi5GI2fZHNjx6CLF4oagy30PH/0Ypvp31kum34J84cWLrwR+0kmy8+5myGgDVB&#10;7t0+XkcY9jEbPatomTI6fKUmKtbJDDuXZC+3ZOU5MUGTq8WSM0Hz8/VqsV5m6mrkyFwhYvoivWW5&#10;aLghAYURTo+YRuhvSIYbxwbSu5xnTqAWVHT1VNpANtB1ZS96o9sHbUzegbE73JvITpDboHxXCX/B&#10;8iE7wH7ElaUMg7qX0H52LUuXQAE5ehc8S7Cy5cxIeka5KsgE2jwjU9TgOvMKmhIwjoLIIY+x5urg&#10;2wtdyTFE3fWUxqwozSvUAiW2a7vmHvtzXJien+j2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qi&#10;JkjXAAAACAEAAA8AAAAAAAAAAQAgAAAAIgAAAGRycy9kb3ducmV2LnhtbFBLAQIUABQAAAAIAIdO&#10;4kDOdFrg6wEAAOoDAAAOAAAAAAAAAAEAIAAAACYBAABkcnMvZTJvRG9jLnhtbFBLBQYAAAAABgAG&#10;AFkBAACDBQAAAAA=&#10;">
                <v:fill on="f" focussize="0,0"/>
                <v:stroke color="#000000" joinstyle="round" endarrow="block"/>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1911350</wp:posOffset>
                </wp:positionH>
                <wp:positionV relativeFrom="paragraph">
                  <wp:posOffset>302895</wp:posOffset>
                </wp:positionV>
                <wp:extent cx="1371600" cy="298450"/>
                <wp:effectExtent l="4445" t="4445" r="14605" b="20955"/>
                <wp:wrapNone/>
                <wp:docPr id="10" name="Rectangle 238"/>
                <wp:cNvGraphicFramePr/>
                <a:graphic xmlns:a="http://schemas.openxmlformats.org/drawingml/2006/main">
                  <a:graphicData uri="http://schemas.microsoft.com/office/word/2010/wordprocessingShape">
                    <wps:wsp>
                      <wps:cNvSpPr/>
                      <wps:spPr>
                        <a:xfrm>
                          <a:off x="0" y="0"/>
                          <a:ext cx="1371600" cy="298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105" w:firstLineChars="50"/>
                              <w:rPr>
                                <w:rFonts w:ascii="仿宋" w:hAnsi="仿宋" w:cs="仿宋"/>
                                <w:sz w:val="21"/>
                                <w:szCs w:val="24"/>
                              </w:rPr>
                            </w:pPr>
                            <w:r>
                              <w:rPr>
                                <w:rFonts w:hint="eastAsia" w:ascii="仿宋" w:hAnsi="仿宋" w:cs="仿宋"/>
                                <w:sz w:val="21"/>
                                <w:szCs w:val="24"/>
                              </w:rPr>
                              <w:t>应急指挥办公室</w:t>
                            </w:r>
                          </w:p>
                          <w:p>
                            <w:pPr>
                              <w:spacing w:line="240" w:lineRule="auto"/>
                              <w:ind w:firstLine="420"/>
                              <w:rPr>
                                <w:rFonts w:eastAsia="宋体" w:cs="Times New Roman"/>
                                <w:sz w:val="21"/>
                                <w:szCs w:val="24"/>
                              </w:rPr>
                            </w:pPr>
                          </w:p>
                        </w:txbxContent>
                      </wps:txbx>
                      <wps:bodyPr upright="1"/>
                    </wps:wsp>
                  </a:graphicData>
                </a:graphic>
              </wp:anchor>
            </w:drawing>
          </mc:Choice>
          <mc:Fallback>
            <w:pict>
              <v:rect id="Rectangle 238" o:spid="_x0000_s1026" o:spt="1" style="position:absolute;left:0pt;margin-left:150.5pt;margin-top:23.85pt;height:23.5pt;width:108pt;z-index:251672576;mso-width-relative:page;mso-height-relative:page;" fillcolor="#FFFFFF" filled="t" stroked="t" coordsize="21600,21600" o:gfxdata="UEsDBAoAAAAAAIdO4kAAAAAAAAAAAAAAAAAEAAAAZHJzL1BLAwQUAAAACACHTuJA+VQdQdgAAAAJ&#10;AQAADwAAAGRycy9kb3ducmV2LnhtbE2PwU7DMBBE70j8g7VI3KidthAasukBVCSObXrh5sQmCcTr&#10;KHbawNeznOhxdkazb/Lt7HpxsmPoPCEkCwXCUu1NRw3CsdzdPYIIUZPRvSeL8G0DbIvrq1xnxp9p&#10;b0+H2AguoZBphDbGIZMy1K11Oiz8YIm9Dz86HVmOjTSjPnO56+VSqQfpdEf8odWDfW5t/XWYHELV&#10;LY/6Z1++KrfZreLbXH5O7y+ItzeJegIR7Rz/w/CHz+hQMFPlJzJB9AgrlfCWiLBOUxAcuE9SPlQI&#10;m3UKssjl5YLiF1BLAwQUAAAACACHTuJAoX+5M/wBAAAvBAAADgAAAGRycy9lMm9Eb2MueG1srVPL&#10;ktMwELxTxT+odCe2s2TJuuLsgRAuFGyx8AETWbZVpVdplNj5e0ZKNvuAQw74YI+sUU93z2h1PxnN&#10;DjKgcrbh1azkTFrhWmX7hv/+tf2w5Awj2Ba0s7LhR4n8fv3+3Wr0tZy7welWBkYgFuvRN3yI0ddF&#10;gWKQBnDmvLS02blgINIy9EUbYCR0o4t5Wd4WowutD05IRPq7OW3yM2K4BtB1nRJy48TeSBtPqEFq&#10;iCQJB+WRrzPbrpMi/ug6lJHphpPSmN9UhOJdehfrFdR9AD8ocaYA11B4o8mAslT0ArWBCGwf1F9Q&#10;Rong0HVxJpwpTkKyI6SiKt948ziAl1kLWY3+Yjr+P1jx/fAQmGppEsgSC4Y6/pNcA9tryeY3y+TQ&#10;6LGmxEf/EM4rpDDJnbpg0peEsCm7ery4KqfIBP2sbj5VtyWhC9qb3y0/LrLtxfNpHzB+lc6wFDQ8&#10;UP1sJhy+YaSKlPqUkoqh06rdKq3zIvS7zzqwA1CHt/lJlOnIqzRt2djwu8V8QTyAxrajcaHQeJKO&#10;ts/1Xp3Al8Blfv4FnIhtAIcTgYyQ0qA2KspkF9SDhPaLbVk8enLX0q3iiYyRLWda0iVMUc6MoPQ1&#10;maROWxKZGnNqRYritJsIJoU71x6pr3sfVD+QpVWmnnZojrI755lPg/pynUGf7/n6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lUHUHYAAAACQEAAA8AAAAAAAAAAQAgAAAAIgAAAGRycy9kb3ducmV2&#10;LnhtbFBLAQIUABQAAAAIAIdO4kChf7kz/AEAAC8EAAAOAAAAAAAAAAEAIAAAACcBAABkcnMvZTJv&#10;RG9jLnhtbFBLBQYAAAAABgAGAFkBAACVBQAAAAA=&#10;">
                <v:fill on="t" focussize="0,0"/>
                <v:stroke color="#000000" joinstyle="miter"/>
                <v:imagedata o:title=""/>
                <o:lock v:ext="edit" aspectratio="f"/>
                <v:textbox>
                  <w:txbxContent>
                    <w:p>
                      <w:pPr>
                        <w:spacing w:line="240" w:lineRule="auto"/>
                        <w:ind w:firstLine="105" w:firstLineChars="50"/>
                        <w:rPr>
                          <w:rFonts w:ascii="仿宋" w:hAnsi="仿宋" w:cs="仿宋"/>
                          <w:sz w:val="21"/>
                          <w:szCs w:val="24"/>
                        </w:rPr>
                      </w:pPr>
                      <w:r>
                        <w:rPr>
                          <w:rFonts w:hint="eastAsia" w:ascii="仿宋" w:hAnsi="仿宋" w:cs="仿宋"/>
                          <w:sz w:val="21"/>
                          <w:szCs w:val="24"/>
                        </w:rPr>
                        <w:t>应急指挥办公室</w:t>
                      </w:r>
                    </w:p>
                    <w:p>
                      <w:pPr>
                        <w:spacing w:line="240" w:lineRule="auto"/>
                        <w:ind w:firstLine="420"/>
                        <w:rPr>
                          <w:rFonts w:eastAsia="宋体" w:cs="Times New Roman"/>
                          <w:sz w:val="21"/>
                          <w:szCs w:val="24"/>
                        </w:rPr>
                      </w:pPr>
                    </w:p>
                  </w:txbxContent>
                </v:textbox>
              </v:rect>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3305175</wp:posOffset>
                </wp:positionH>
                <wp:positionV relativeFrom="paragraph">
                  <wp:posOffset>121285</wp:posOffset>
                </wp:positionV>
                <wp:extent cx="1390650" cy="635"/>
                <wp:effectExtent l="0" t="52070" r="0" b="61595"/>
                <wp:wrapNone/>
                <wp:docPr id="82" name="直线 79"/>
                <wp:cNvGraphicFramePr/>
                <a:graphic xmlns:a="http://schemas.openxmlformats.org/drawingml/2006/main">
                  <a:graphicData uri="http://schemas.microsoft.com/office/word/2010/wordprocessingShape">
                    <wps:wsp>
                      <wps:cNvCnPr/>
                      <wps:spPr>
                        <a:xfrm flipH="1">
                          <a:off x="0" y="0"/>
                          <a:ext cx="1390650" cy="63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直线 79" o:spid="_x0000_s1026" o:spt="20" style="position:absolute;left:0pt;flip:x;margin-left:260.25pt;margin-top:9.55pt;height:0.05pt;width:109.5pt;z-index:251700224;mso-width-relative:page;mso-height-relative:page;" filled="f" stroked="t" coordsize="21600,21600" o:gfxdata="UEsDBAoAAAAAAIdO4kAAAAAAAAAAAAAAAAAEAAAAZHJzL1BLAwQUAAAACACHTuJARxPR4dUAAAAJ&#10;AQAADwAAAGRycy9kb3ducmV2LnhtbE2PsVLDMBBEe2b4B80xQ0dkm0lMHMspCHRQYBhqxbpYButk&#10;LMUxf8+lIuXtvtnbLbez68WEY+g8KUgXCQikxpuOWgUf7893DyBC1GR07wkV/GKAbXV9VerC+BO9&#10;4VTHVnAIhUIrsDEOhZShseh0WPgBib2DH52OfI6tNKM+cbjrZZYkK+l0R/zB6gEfLTbf9dEp2OVu&#10;pnxVu5fXnf36zJ+mH7RSqdubNNmAiDjHfxjO9bk6VNxp749kgugVLLNkySgb6xQEA/n9moX9WchA&#10;VqW8XFD9AVBLAwQUAAAACACHTuJAp645IPkBAADrAwAADgAAAGRycy9lMm9Eb2MueG1srVNLjhMx&#10;EN0jcQfLe9KdjJLJtNKZxYSBBYJIAweo+NNtyT/ZTjo5C9dgxYbjzDUou0MGBhazwAur7Hp+rvdc&#10;Xt0ejSYHEaJytqXTSU2JsMxxZbuWfvl8/2ZJSUxgOWhnRUtPItLb9etXq8E3YuZ6p7kIBElsbAbf&#10;0j4l31RVZL0wECfOC4tJ6YKBhMvQVTzAgOxGV7O6XlSDC9wHx0SMuLsZk/TMGF5C6KRUTGwc2xth&#10;08gahIaEkmKvfKTrUq2UgqVPUkaRiG4pKk1lxksw3uW5Wq+g6QL4XrFzCfCSEp5pMqAsXnqh2kAC&#10;sg/qLyqjWHDRyTRhzlSjkOIIqpjWz7x56MGLogWtjv5ievx/tOzjYRuI4i1dziixYPDFH79+e/z+&#10;g1zfZHcGHxsE3dltOK+i34Ys9SiDIVIr/x7bqIhHOeRYvD1dvBXHRBhuTq9u6sUcbWeYW1zNM3c1&#10;kmQyH2J6J5whOWipVjYLhwYOH2Iaob8geVtbMiDnfHk9R0bANpT4/Bgaj1Ki7crh6LTi90rrfCSG&#10;bnenAzlAboUyzjX8Acu3bCD2I66kMgyaXgB/azlJJ48eWfwbNNdgBKdEC/xKOSrIBEo/ISEEN/wb&#10;ivq1RRuyx6OrOdo5fsI32fuguh69mJYycwZ7oJh27tfcZL+vC9PTH13/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cT0eHVAAAACQEAAA8AAAAAAAAAAQAgAAAAIgAAAGRycy9kb3ducmV2LnhtbFBL&#10;AQIUABQAAAAIAIdO4kCnrjkg+QEAAOsDAAAOAAAAAAAAAAEAIAAAACQBAABkcnMvZTJvRG9jLnht&#10;bFBLBQYAAAAABgAGAFkBAACPBQAAAAA=&#10;">
                <v:fill on="f" focussize="0,0"/>
                <v:stroke weight="1.25pt" color="#000000" joinstyle="round" endarrow="open"/>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4705350</wp:posOffset>
                </wp:positionH>
                <wp:positionV relativeFrom="paragraph">
                  <wp:posOffset>121285</wp:posOffset>
                </wp:positionV>
                <wp:extent cx="635" cy="2533650"/>
                <wp:effectExtent l="7620" t="0" r="10795" b="0"/>
                <wp:wrapNone/>
                <wp:docPr id="81" name="直线 80"/>
                <wp:cNvGraphicFramePr/>
                <a:graphic xmlns:a="http://schemas.openxmlformats.org/drawingml/2006/main">
                  <a:graphicData uri="http://schemas.microsoft.com/office/word/2010/wordprocessingShape">
                    <wps:wsp>
                      <wps:cNvCnPr/>
                      <wps:spPr>
                        <a:xfrm flipV="1">
                          <a:off x="0" y="0"/>
                          <a:ext cx="635" cy="253365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80" o:spid="_x0000_s1026" o:spt="20" style="position:absolute;left:0pt;flip:y;margin-left:370.5pt;margin-top:9.55pt;height:199.5pt;width:0.05pt;z-index:251699200;mso-width-relative:page;mso-height-relative:page;" filled="f" stroked="t" coordsize="21600,21600" o:gfxdata="UEsDBAoAAAAAAIdO4kAAAAAAAAAAAAAAAAAEAAAAZHJzL1BLAwQUAAAACACHTuJAc6LdZNcAAAAK&#10;AQAADwAAAGRycy9kb3ducmV2LnhtbE2PzU7DMBCE70i8g7VI3KjtqoIQ4lTiT0KCSxseYBu7SVR7&#10;HWKnLW/PcoLb7s5o9ptqfQ5eHN2UhkgG9EKBcNRGO1Bn4LN5vSlApIxk0UdyBr5dgnV9eVFhaeOJ&#10;Nu64zZ3gEEolGuhzHkspU9u7gGkRR0es7eMUMPM6ddJOeOLw4OVSqVsZcCD+0OPonnrXHrZzMLBs&#10;ZvX++FZIP341m+blA5+HhMZcX2n1ACK7c/4zwy8+o0PNTLs4k03CG7hbae6SWbjXINjABx52Bla6&#10;0CDrSv6vUP8AUEsDBBQAAAAIAIdO4kCNca0h8wEAAOoDAAAOAAAAZHJzL2Uyb0RvYy54bWytUztu&#10;GzEQ7QPkDgT7aPWBFGGhlQsrThMkAhK7p/jZJcAfOJRWOouv4SpNjuNrZMiV5cRpVGSLxXBm+Gbe&#10;m+Hq5mgNOcgI2ruGTkZjSqTjXmjXNvT+x92HJSWQmBPMeCcbepJAb9bv3636UMup77wRMhIEcVD3&#10;oaFdSqGuKuCdtAxGPkiHQeWjZQmPsa1EZD2iW1NNx+NF1fsoQvRcAqB3MwTpGTFeA+iV0lxuPN9b&#10;6dKAGqVhCSlBpwPQdelWKcnTN6VAJmIaikxT+WMRtHf5X61XrG4jC53m5xbYNS284WSZdlj0ArVh&#10;iZF91P9AWc2jB6/SiHtbDUSKIshiMn6jzfeOBVm4oNQQLqLD/4PlXw/bSLRo6HJCiWMWJ/78+PT8&#10;8xdZFnX6ADUm3bptRK3yCcI2ZqpHFS1RRocHXKNCHumQY9H2dNFWHhPh6FzM5pRw9E/ns9liXrCr&#10;ASSDhQjps/SWZKOhRrtMnNXs8AUSFsbUl5TsNo70WHW+/JhRGa6hwvGjaQNSAdeWy+CNFnfamHwF&#10;Yru7NZEcWF6F8uXpI/BfabnKhkE35JXQsCSdZOKTEySdAmrk8G3Q3IOVghIj8Sllq6xTYtpck4ml&#10;jcMOXkXN1s6LE45kH6JuO5RiUrrMEVyB0u95XfOO/XkuSK9Pd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6LdZNcAAAAKAQAADwAAAAAAAAABACAAAAAiAAAAZHJzL2Rvd25yZXYueG1sUEsBAhQA&#10;FAAAAAgAh07iQI1xrSHzAQAA6gMAAA4AAAAAAAAAAQAgAAAAJgEAAGRycy9lMm9Eb2MueG1sUEsF&#10;BgAAAAAGAAYAWQEAAIsFAAAAAA==&#10;">
                <v:fill on="f" focussize="0,0"/>
                <v:stroke weight="1.25pt" color="#000000" joinstyle="round"/>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2616200</wp:posOffset>
                </wp:positionH>
                <wp:positionV relativeFrom="paragraph">
                  <wp:posOffset>271780</wp:posOffset>
                </wp:positionV>
                <wp:extent cx="1270" cy="306070"/>
                <wp:effectExtent l="36830" t="0" r="38100" b="17780"/>
                <wp:wrapNone/>
                <wp:docPr id="11" name="Line 239"/>
                <wp:cNvGraphicFramePr/>
                <a:graphic xmlns:a="http://schemas.openxmlformats.org/drawingml/2006/main">
                  <a:graphicData uri="http://schemas.microsoft.com/office/word/2010/wordprocessingShape">
                    <wps:wsp>
                      <wps:cNvCnPr/>
                      <wps:spPr>
                        <a:xfrm>
                          <a:off x="0" y="0"/>
                          <a:ext cx="1270" cy="3060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Line 239" o:spid="_x0000_s1026" o:spt="20" style="position:absolute;left:0pt;margin-left:206pt;margin-top:21.4pt;height:24.1pt;width:0.1pt;z-index:251673600;mso-width-relative:page;mso-height-relative:page;" filled="f" stroked="t" coordsize="21600,21600" o:gfxdata="UEsDBAoAAAAAAIdO4kAAAAAAAAAAAAAAAAAEAAAAZHJzL1BLAwQUAAAACACHTuJAVSXpzNgAAAAJ&#10;AQAADwAAAGRycy9kb3ducmV2LnhtbE2PQU/DMAyF70j8h8hI3FiSCqFSmu6ANC4boG0IwS1rTVvR&#10;OFWSbuXfY07sZvs9PX+vXM5uEEcMsfdkQC8UCKTaNz21Bt72q5scREyWGjt4QgM/GGFZXV6Utmj8&#10;ibZ43KVWcAjFwhroUhoLKWPdobNx4Uck1r58cDbxGlrZBHvicDfITKk76WxP/KGzIz52WH/vJmdg&#10;u1mt8/f1NNfh80m/7F83zx8xN+b6SqsHEAnn9G+GP3xGh4qZDn6iJorBwK3OuEviIeMKbOBDBuJg&#10;4F4rkFUpzxtUv1BLAwQUAAAACACHTuJAU6dft+UBAADiAwAADgAAAGRycy9lMm9Eb2MueG1srVNN&#10;b9swDL0P2H8QdF9sp2i3GnF6aNZdii3Auh/ASLItQF8QlTj596PkLNk6DOhhPsiU+PRIPlKrh6M1&#10;7KAiau863ixqzpQTXmo3dPzHy9OHT5xhAifBeKc6flLIH9bv362m0KqlH72RKjIicdhOoeNjSqGt&#10;KhSjsoALH5QjZ++jhUTbOFQywkTs1lTLur6rJh9liF4oRDrdzE5+ZoxvIfR9r4XaeLG3yqWZNSoD&#10;iUrCUQfk65Jt3yuRvvU9qsRMx6nSVFYKQvYur9V6Be0QIYxanFOAt6TwqiYL2lHQC9UGErB91H9R&#10;WS2iR9+nhfC2mgspilAVTf1Km+8jBFVqIakxXETH/0crvh62kWlJk9Bw5sBSx5+1U2x5c5/FmQK2&#10;hHl023jeYdjGXOmxjzb/qQZ2LIKeLoKqY2KCDpvlRxJakOOmvqvJJo7qejVETF+UtywbHTcUt4gI&#10;h2dMM/QXJEcyjk0dv79d3hIn0Oj11HIybaD00Q3lLnqj5ZM2Jt/AOOweTWQHyO0v3zmFP2A5yAZw&#10;nHHFlWHQjgrkZydZOgXSxdF74DkFqyRnRtHzyVZBJtDmikxRgxvMP9CkgHEkRNZ2VjNbOy9P1Ip9&#10;iHoYSY2mZJo91Poi23lM82z9vi9M16e5/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VJenM2AAA&#10;AAkBAAAPAAAAAAAAAAEAIAAAACIAAABkcnMvZG93bnJldi54bWxQSwECFAAUAAAACACHTuJAU6df&#10;t+UBAADiAwAADgAAAAAAAAABACAAAAAnAQAAZHJzL2Uyb0RvYy54bWxQSwUGAAAAAAYABgBZAQAA&#10;fgUAAAAA&#10;">
                <v:fill on="f" focussize="0,0"/>
                <v:stroke color="#000000" joinstyle="round" endarrow="block"/>
                <v:imagedata o:title=""/>
                <o:lock v:ext="edit" aspectratio="f"/>
              </v:line>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1309370</wp:posOffset>
                </wp:positionH>
                <wp:positionV relativeFrom="paragraph">
                  <wp:posOffset>247650</wp:posOffset>
                </wp:positionV>
                <wp:extent cx="635" cy="409575"/>
                <wp:effectExtent l="52070" t="0" r="61595" b="9525"/>
                <wp:wrapNone/>
                <wp:docPr id="23" name="直线 82"/>
                <wp:cNvGraphicFramePr/>
                <a:graphic xmlns:a="http://schemas.openxmlformats.org/drawingml/2006/main">
                  <a:graphicData uri="http://schemas.microsoft.com/office/word/2010/wordprocessingShape">
                    <wps:wsp>
                      <wps:cNvCnPr/>
                      <wps:spPr>
                        <a:xfrm>
                          <a:off x="0" y="0"/>
                          <a:ext cx="635" cy="40957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直线 82" o:spid="_x0000_s1026" o:spt="20" style="position:absolute;left:0pt;margin-left:103.1pt;margin-top:19.5pt;height:32.25pt;width:0.05pt;z-index:251682816;mso-width-relative:page;mso-height-relative:page;" filled="f" stroked="t" coordsize="21600,21600" o:gfxdata="UEsDBAoAAAAAAIdO4kAAAAAAAAAAAAAAAAAEAAAAZHJzL1BLAwQUAAAACACHTuJAU4SbodoAAAAK&#10;AQAADwAAAGRycy9kb3ducmV2LnhtbE2PwU7DMAyG70i8Q2QkbixZC9MoTXcAcWASEgyEOGaN15Y2&#10;TmmyddvTY07b0fan39+fL/auEzscQuNJw3SiQCCV3jZUafj8eL6ZgwjRkDWdJ9RwwACL4vIiN5n1&#10;I73jbhUrwSEUMqOhjrHPpAxljc6Eie+R+LbxgzORx6GSdjAjh7tOJkrNpDMN8Yfa9PhYY9mutk7D&#10;cdkub1s1fxufNr8/X99t37zGF62vr6bqAUTEfTzB8K/P6lCw09pvyQbRaUjULGFUQ3rPnRjgRQpi&#10;zaRK70AWuTyvUPwBUEsDBBQAAAAIAIdO4kAYm9sQ8AEAAOADAAAOAAAAZHJzL2Uyb0RvYy54bWyt&#10;U0uOEzEQ3SNxB8t70kmGDKGVziwmDBsEIw0coGK7uy35p7KTTs7CNVix4ThzDcrukMDAYhb0wl22&#10;n5/rvSqvbg7WsL3CqL1r+Gwy5Uw54aV2XcO/fL57teQsJnASjHeq4UcV+c365YvVEGo19703UiEj&#10;EhfrITS8TynUVRVFryzEiQ/K0Wbr0UKiKXaVRBiI3ZpqPp1eV4NHGdALFSOtbsZNfmLE5xD6ttVC&#10;bbzYWeXSyIrKQCJJsdch8nXJtm2VSJ/aNqrETMNJaSojXULxNo/VegV1hxB6LU4pwHNSeKLJgnZ0&#10;6ZlqAwnYDvVfVFYL9NG3aSK8rUYhxRFSMZs+8eahh6CKFrI6hrPp8f/Rio/7e2RaNnx+xZkDSxV/&#10;/Prt8fsPtpxnd4YQawLduns8zWK4xyz10KLNfxLBDsXR49lRdUhM0OL11YIzQeuvp28XbxaZsLqc&#10;DBjTe+Uty0HDjXZZLdSw/xDTCP0FycvGsYE6drEkIiaAeq+lmlNoA+UfXVcOR2+0vNPG5CMRu+2t&#10;QbaHXP/ynXL4A5Zv2UDsR1zZyjCoewXynZMsHQMZ4+hB8JyDVZIzo+j95KggE2hzQQKiH/4NJf3G&#10;kQ3Z2NHKHG29PFIhdgF115MXs5Jm3qHCF9NOTZo76/d5Ybo8zP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U4SbodoAAAAKAQAADwAAAAAAAAABACAAAAAiAAAAZHJzL2Rvd25yZXYueG1sUEsBAhQA&#10;FAAAAAgAh07iQBib2xDwAQAA4AMAAA4AAAAAAAAAAQAgAAAAKQEAAGRycy9lMm9Eb2MueG1sUEsF&#10;BgAAAAAGAAYAWQEAAIsFAAAAAA==&#10;">
                <v:fill on="f" focussize="0,0"/>
                <v:stroke weight="1.25pt" color="#000000" joinstyle="round" endarrow="open"/>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4009390</wp:posOffset>
                </wp:positionH>
                <wp:positionV relativeFrom="paragraph">
                  <wp:posOffset>259080</wp:posOffset>
                </wp:positionV>
                <wp:extent cx="2540" cy="394970"/>
                <wp:effectExtent l="36195" t="0" r="37465" b="5080"/>
                <wp:wrapNone/>
                <wp:docPr id="24" name="直线 83"/>
                <wp:cNvGraphicFramePr/>
                <a:graphic xmlns:a="http://schemas.openxmlformats.org/drawingml/2006/main">
                  <a:graphicData uri="http://schemas.microsoft.com/office/word/2010/wordprocessingShape">
                    <wps:wsp>
                      <wps:cNvCnPr/>
                      <wps:spPr>
                        <a:xfrm>
                          <a:off x="0" y="0"/>
                          <a:ext cx="2540" cy="3949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83" o:spid="_x0000_s1026" o:spt="20" style="position:absolute;left:0pt;margin-left:315.7pt;margin-top:20.4pt;height:31.1pt;width:0.2pt;z-index:251683840;mso-width-relative:page;mso-height-relative:page;" filled="f" stroked="t" coordsize="21600,21600" o:gfxdata="UEsDBAoAAAAAAIdO4kAAAAAAAAAAAAAAAAAEAAAAZHJzL1BLAwQUAAAACACHTuJANQ0ATtkAAAAK&#10;AQAADwAAAGRycy9kb3ducmV2LnhtbE2PQU/DMAyF70j8h8hI3FhSNk1VaboD0rhsgLYhBLesMW1F&#10;41RJupV/jzmNm+336fm9cjW5XpwwxM6ThmymQCDV3nbUaHg7rO9yEDEZsqb3hBp+MMKqur4qTWH9&#10;mXZ42qdGsAnFwmhoUxoKKWPdojNx5gck1r58cCbxGhppgzmzuevlvVJL6UxH/KE1Az62WH/vR6dh&#10;t11v8vfNONXh8yl7Obxunz9irvXtTaYeQCSc0gWGv/gcHSrOdPQj2Sh6Dct5tmBUw0JxBQb4wMOR&#10;STVXIKtS/q9Q/QJQSwMEFAAAAAgAh07iQAlo1Fv1AQAA4wMAAA4AAABkcnMvZTJvRG9jLnhtbK1T&#10;zY7TMBC+I/EOlu80bbaFbdR0D1uWC4JKwANMHSex5D953KZ9Fl6DExceZ1+DsVNaWIS0B3Jwxp7x&#10;N/N9M17dHY1mBxlQOVvz2WTKmbTCNcp2Nf/y+eHVLWcYwTagnZU1P0nkd+uXL1aDr2TpeqcbGRiB&#10;WKwGX/M+Rl8VBYpeGsCJ89KSs3XBQKRt6IomwEDoRhfldPq6GFxofHBCItLpZnTyM2J4DqBrWyXk&#10;xom9kTaOqEFqiEQJe+WRr3O1bStF/Ni2KCPTNSemMa+UhOxdWov1CqougO+VOJcAzynhCScDylLS&#10;C9QGIrB9UH9BGSWCQ9fGiXCmGIlkRYjFbPpEm089eJm5kNToL6Lj/4MVHw7bwFRT83LOmQVDHX/8&#10;+u3x+w92e5PUGTxWFHRvt+G8Q78NieqxDSb9iQQ7ZkVPF0XlMTJBh+ViTkoLctws58s3We/ietUH&#10;jO+kMywZNdfKJrpQweE9RkpHob9C0rG2bKj5clEuCBNo9lrqOZnGU/1ou3wXnVbNg9I63cDQ7e51&#10;YAdI/c9fIkW4f4SlJBvAfozLrnEyegnNW9uwePIkjKUHwVMJRjacaUnvJ1kECFUEpa+RMSiwnf5H&#10;NKXXlqpI2o5qJmvnmhP1Yu+D6npSY5YrTR7qfa75PKdpuH7fZ6Tr21z/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UNAE7ZAAAACgEAAA8AAAAAAAAAAQAgAAAAIgAAAGRycy9kb3ducmV2LnhtbFBL&#10;AQIUABQAAAAIAIdO4kAJaNRb9QEAAOMDAAAOAAAAAAAAAAEAIAAAACgBAABkcnMvZTJvRG9jLnht&#10;bFBLBQYAAAAABgAGAFkBAACPBQAAAAA=&#10;">
                <v:fill on="f" focussize="0,0"/>
                <v:stroke color="#000000" joinstyle="round" endarrow="block"/>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1307465</wp:posOffset>
                </wp:positionH>
                <wp:positionV relativeFrom="paragraph">
                  <wp:posOffset>247650</wp:posOffset>
                </wp:positionV>
                <wp:extent cx="2720340" cy="9525"/>
                <wp:effectExtent l="0" t="0" r="0" b="0"/>
                <wp:wrapNone/>
                <wp:docPr id="4" name="Line 228"/>
                <wp:cNvGraphicFramePr/>
                <a:graphic xmlns:a="http://schemas.openxmlformats.org/drawingml/2006/main">
                  <a:graphicData uri="http://schemas.microsoft.com/office/word/2010/wordprocessingShape">
                    <wps:wsp>
                      <wps:cNvCnPr/>
                      <wps:spPr>
                        <a:xfrm flipV="1">
                          <a:off x="0" y="0"/>
                          <a:ext cx="2720340"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102.95pt;margin-top:19.5pt;height:0.75pt;width:214.2pt;z-index:251667456;mso-width-relative:page;mso-height-relative:page;" filled="f" stroked="t" coordsize="21600,21600" o:gfxdata="UEsDBAoAAAAAAIdO4kAAAAAAAAAAAAAAAAAEAAAAZHJzL1BLAwQUAAAACACHTuJAY4GaANgAAAAJ&#10;AQAADwAAAGRycy9kb3ducmV2LnhtbE2PwU7DMBBE70j8g7VI3KjdpK1Imk2FEHBBQqKEnp14SSJi&#10;O4rdtPw9y4keV/s086bYne0gZppC7x3CcqFAkGu86V2LUH08392DCFE7owfvCOGHAuzK66tC58af&#10;3DvN+9gKDnEh1whdjGMuZWg6sjos/EiOf19+sjryObXSTPrE4XaQiVIbaXXvuKHTIz121Hzvjxbh&#10;4fD6lL7NtfWDydrq09hKvSSItzdLtQUR6Rz/YfjTZ3Uo2an2R2eCGBAStc4YRUgz3sTAJl2lIGqE&#10;lVqDLAt5uaD8BVBLAwQUAAAACACHTuJAaBPKzuMBAADoAwAADgAAAGRycy9lMm9Eb2MueG1srVNN&#10;j9MwEL0j8R8s32nasAu7UdM9bFkuK6gE7N21J4klf8njNu2/Z+yEAsulB3ywxp7n53nP4/XDyRp2&#10;hIjau5avFkvOwEmvtOtb/uP707s7zjAJp4TxDlp+BuQPm7dv1mNooPaDNwoiIxKHzRhaPqQUmqpC&#10;OYAVuPABHCU7H61ItIx9paIYid2aql4uP1SjjypELwGRdrdTks+M8RpC33VawtbLgwWXJtYIRiSS&#10;hIMOyDel2q4Dmb52HUJipuWkNJWZLqF4n+dqsxZNH0UYtJxLENeU8EqTFdrRpReqrUiCHaL+h8pq&#10;GT36Li2kt9UkpDhCKlbLV958G0SAooWsxnAxHf8frfxy3EWmVctvOHPC0oM/awesru+yN2PAhiCP&#10;bhfnFYZdzEJPXbSsMzq8UBMV6SSGnYqz54uzcEpM0mb9sV6+vyHTJeXub+vbTF5NLJktREyfwVuW&#10;g5YbKqFwiuMzpgn6C5LhxrFx5mFSUBN29PhEbgMJQdeXs+iNVk/amHwCY79/NJEdRW6EMuYS/oLl&#10;S7YChwlXUhkmmgGE+uQUS+dAFjn6GTyXYEFxZoA+Uo4KMgltrkGSeuPIhGzxZGqO9l6d6UEOIep+&#10;ICdWpcqcoQYols3Nmjvsz3Vh+v1BNz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Y4GaANgAAAAJ&#10;AQAADwAAAAAAAAABACAAAAAiAAAAZHJzL2Rvd25yZXYueG1sUEsBAhQAFAAAAAgAh07iQGgTys7j&#10;AQAA6AMAAA4AAAAAAAAAAQAgAAAAJwEAAGRycy9lMm9Eb2MueG1sUEsFBgAAAAAGAAYAWQEAAHwF&#10;AAAAAA==&#10;">
                <v:fill on="f" focussize="0,0"/>
                <v:stroke color="#000000" joinstyle="round"/>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3247390</wp:posOffset>
                </wp:positionH>
                <wp:positionV relativeFrom="paragraph">
                  <wp:posOffset>269240</wp:posOffset>
                </wp:positionV>
                <wp:extent cx="2540" cy="394970"/>
                <wp:effectExtent l="36195" t="0" r="37465" b="5080"/>
                <wp:wrapNone/>
                <wp:docPr id="18" name="直线 85"/>
                <wp:cNvGraphicFramePr/>
                <a:graphic xmlns:a="http://schemas.openxmlformats.org/drawingml/2006/main">
                  <a:graphicData uri="http://schemas.microsoft.com/office/word/2010/wordprocessingShape">
                    <wps:wsp>
                      <wps:cNvCnPr/>
                      <wps:spPr>
                        <a:xfrm>
                          <a:off x="0" y="0"/>
                          <a:ext cx="2540" cy="3949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85" o:spid="_x0000_s1026" o:spt="20" style="position:absolute;left:0pt;margin-left:255.7pt;margin-top:21.2pt;height:31.1pt;width:0.2pt;z-index:251680768;mso-width-relative:page;mso-height-relative:page;" filled="f" stroked="t" coordsize="21600,21600" o:gfxdata="UEsDBAoAAAAAAIdO4kAAAAAAAAAAAAAAAAAEAAAAZHJzL1BLAwQUAAAACACHTuJAPHrEv9oAAAAK&#10;AQAADwAAAGRycy9kb3ducmV2LnhtbE2PwU7DMBBE70j8g7VI3KjtKlRRGqcHpHJpAbVFiN7ceEki&#10;YjuynTb8PcupnFa78zQ7U64m27Mzhth5p0DOBDB0tTedaxS8H9YPObCYtDO69w4V/GCEVXV7U+rC&#10;+Ivb4XmfGkYmLhZaQZvSUHAe6xatjjM/oCPtywerE62h4SboC5nbns+FWHCrO0cfWj3gU4v19360&#10;Cnbb9Sb/2IxTHY7P8vXwtn35jLlS93dSLIElnNIVhr/4FB0qynTyozOR9QoepcwIVZDNaRJAB+py&#10;IlJkC+BVyf9XqH4BUEsDBBQAAAAIAIdO4kCxZ8Ps9AEAAOMDAAAOAAAAZHJzL2Uyb0RvYy54bWyt&#10;U0uOEzEQ3SNxB8t70kmYwKSVziwmDBsEIw0coGK7uy35J5eTTs7CNVix4ThzDcrukMAgpFnQC3fZ&#10;VX5V71V5dXOwhu1VRO1dw2eTKWfKCS+16xr+5fPdq2vOMIGTYLxTDT8q5Dfrly9WQ6jV3PfeSBUZ&#10;gTish9DwPqVQVxWKXlnAiQ/KkbP10UKibewqGWEgdGuq+XT6php8lCF6oRDpdDM6+QkxPgfQt60W&#10;auPFziqXRtSoDCSihL0OyNel2rZVIn1qW1SJmYYT01RWSkL2Nq/VegV1FyH0WpxKgOeU8ISTBe0o&#10;6RlqAwnYLuq/oKwW0aNv00R4W41EiiLEYjZ9os1DD0EVLiQ1hrPo+P9gxcf9fWRa0iRQ3x1Y6vjj&#10;12+P33+w60VWZwhYU9Ctu4+nHYb7mKke2mjzn0iwQ1H0eFZUHRITdDhfXJHSghyvl1fLt0Xv6nI1&#10;REzvlbcsGw032mW6UMP+AyZKR6G/QvKxcWxo+HIxXxAm0Oy11HMybaD60XXlLnqj5Z02Jt/A2G1v&#10;TWR7yP0vXyZFuH+E5SQbwH6MK65xMnoF8p2TLB0DCePoQfBcglWSM6Po/WSLAKFOoM0lMkUNrjP/&#10;iKb0xlEVWdtRzWxtvTxSL3Yh6q4nNWal0uyh3peaT3Oah+v3fUG6vM3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x6xL/aAAAACgEAAA8AAAAAAAAAAQAgAAAAIgAAAGRycy9kb3ducmV2LnhtbFBL&#10;AQIUABQAAAAIAIdO4kCxZ8Ps9AEAAOMDAAAOAAAAAAAAAAEAIAAAACkBAABkcnMvZTJvRG9jLnht&#10;bFBLBQYAAAAABgAGAFkBAACPBQAAAAA=&#10;">
                <v:fill on="f" focussize="0,0"/>
                <v:stroke color="#000000" joinstyle="round" endarrow="block"/>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1950720</wp:posOffset>
                </wp:positionH>
                <wp:positionV relativeFrom="paragraph">
                  <wp:posOffset>271145</wp:posOffset>
                </wp:positionV>
                <wp:extent cx="2540" cy="394970"/>
                <wp:effectExtent l="36195" t="0" r="37465" b="5080"/>
                <wp:wrapNone/>
                <wp:docPr id="12" name="Line 241"/>
                <wp:cNvGraphicFramePr/>
                <a:graphic xmlns:a="http://schemas.openxmlformats.org/drawingml/2006/main">
                  <a:graphicData uri="http://schemas.microsoft.com/office/word/2010/wordprocessingShape">
                    <wps:wsp>
                      <wps:cNvCnPr/>
                      <wps:spPr>
                        <a:xfrm>
                          <a:off x="0" y="0"/>
                          <a:ext cx="2540" cy="3949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Line 241" o:spid="_x0000_s1026" o:spt="20" style="position:absolute;left:0pt;margin-left:153.6pt;margin-top:21.35pt;height:31.1pt;width:0.2pt;z-index:251674624;mso-width-relative:page;mso-height-relative:page;" filled="f" stroked="t" coordsize="21600,21600" o:gfxdata="UEsDBAoAAAAAAIdO4kAAAAAAAAAAAAAAAAAEAAAAZHJzL1BLAwQUAAAACACHTuJA77f3ZdoAAAAK&#10;AQAADwAAAGRycy9kb3ducmV2LnhtbE2PwU7DMAyG70i8Q2QkbixpmbZSmu6ANC4boG0IwS1rTFvR&#10;OFWTbuXtMSc42v70+/uL1eQ6ccIhtJ40JDMFAqnytqVaw+thfZOBCNGQNZ0n1PCNAVbl5UVhcuvP&#10;tMPTPtaCQyjkRkMTY59LGaoGnQkz3yPx7dMPzkQeh1rawZw53HUyVWohnWmJPzSmx4cGq6/96DTs&#10;tutN9rYZp2r4eEyeDy/bp/eQaX19lah7EBGn+AfDrz6rQ8lORz+SDaLTcKuWKaMa5ukSBAO8WIA4&#10;MqnmdyDLQv6vUP4AUEsDBBQAAAAIAIdO4kAvk5tn5wEAAOIDAAAOAAAAZHJzL2Uyb0RvYy54bWyt&#10;U02P0zAQvSPxHyzfadrQAo2a7mHLclnBSgs/YGo7iSV/yeM27b9n7JQWFiHtgRycsWf8Zt6b8ebu&#10;ZA07qojau5YvZnPOlBNeate3/Mf3h3efOMMEToLxTrX8rJDfbd++2YyhUbUfvJEqMgJx2Iyh5UNK&#10;oakqFIOygDMflCNn56OFRNvYVzLCSOjWVPV8/qEafZQheqEQ6XQ3OfkFMb4G0HedFmrnxcEqlybU&#10;qAwkooSDDsi3pdquUyJ96zpUiZmWE9NUVkpC9j6v1XYDTR8hDFpcSoDXlPCCkwXtKOkVagcJ2CHq&#10;v6CsFtGj79JMeFtNRIoixGIxf6HN8wBBFS4kNYar6Pj/YMXX41NkWtIk1Jw5sNTxR+0Uq5eLLM4Y&#10;sKGYe/cULzsMTzEzPXXR5j9xYKci6PkqqDolJuiwXi1JaEGO9+vl+mORu7pdDRHTF+Uty0bLDeUt&#10;IsLxEROlo9BfITmTcWxs+XpVrwgTaPQ6ajmZNlD56PpyF73R8kEbk29g7Pf3JrIj5PaXL5Mi3D/C&#10;cpId4DDFFdc0GIMC+dlJls6BdHH0HnguwSrJmVH0fLJFgNAk0OYWmaIG15t/RFN646iKrO2kZrb2&#10;Xp6pFYcQdT+QGkX+EkOtLzVfxjTP1u/7gnR7mt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77f3&#10;ZdoAAAAKAQAADwAAAAAAAAABACAAAAAiAAAAZHJzL2Rvd25yZXYueG1sUEsBAhQAFAAAAAgAh07i&#10;QC+Tm2fnAQAA4gMAAA4AAAAAAAAAAQAgAAAAKQEAAGRycy9lMm9Eb2MueG1sUEsFBgAAAAAGAAYA&#10;WQEAAIIFAAAAAA==&#10;">
                <v:fill on="f" focussize="0,0"/>
                <v:stroke color="#000000" joinstyle="round" endarrow="block"/>
                <v:imagedata o:title=""/>
                <o:lock v:ext="edit" aspectratio="f"/>
              </v:line>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2618740</wp:posOffset>
                </wp:positionH>
                <wp:positionV relativeFrom="paragraph">
                  <wp:posOffset>259080</wp:posOffset>
                </wp:positionV>
                <wp:extent cx="2540" cy="394970"/>
                <wp:effectExtent l="36195" t="0" r="37465" b="5080"/>
                <wp:wrapNone/>
                <wp:docPr id="13" name="Line 242"/>
                <wp:cNvGraphicFramePr/>
                <a:graphic xmlns:a="http://schemas.openxmlformats.org/drawingml/2006/main">
                  <a:graphicData uri="http://schemas.microsoft.com/office/word/2010/wordprocessingShape">
                    <wps:wsp>
                      <wps:cNvCnPr/>
                      <wps:spPr>
                        <a:xfrm>
                          <a:off x="0" y="0"/>
                          <a:ext cx="2540" cy="3949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Line 242" o:spid="_x0000_s1026" o:spt="20" style="position:absolute;left:0pt;margin-left:206.2pt;margin-top:20.4pt;height:31.1pt;width:0.2pt;z-index:251675648;mso-width-relative:page;mso-height-relative:page;" filled="f" stroked="t" coordsize="21600,21600" o:gfxdata="UEsDBAoAAAAAAIdO4kAAAAAAAAAAAAAAAAAEAAAAZHJzL1BLAwQUAAAACACHTuJALBLNp9gAAAAK&#10;AQAADwAAAGRycy9kb3ducmV2LnhtbE2PQU/DMAyF70j8h8hI3FjSMaGqNN0BaVw2QNsQ2m5ZY9qK&#10;xqmSdCv/HnOC27P96fm9cjm5XpwxxM6ThmymQCDV3nbUaHjfr+5yEDEZsqb3hBq+McKyur4qTWH9&#10;hbZ43qVGsAnFwmhoUxoKKWPdojNx5gckvn364EziMTTSBnNhc9fLuVIP0pmO+ENrBnxqsf7ajU7D&#10;drNa5x/rcarD8Tl73b9tXg4x1/r2JlOPIBJO6Q+G3/gcHSrOdPIj2Sh6DYtsvmCUheIKDPCCxYlJ&#10;da9AVqX8X6H6AVBLAwQUAAAACACHTuJA688BhugBAADiAwAADgAAAGRycy9lMm9Eb2MueG1srVNN&#10;j9MwEL0j8R8s32nabAs0arqHLctlBSsBP2BqO4klf8njNu2/Z+yUFhYh7YEcnLFn/Gbem/Hm/mQN&#10;O6qI2ruWL2ZzzpQTXmrXt/zH98d3HznDBE6C8U61/KyQ32/fvtmMoVG1H7yRKjICcdiMoeVDSqGp&#10;KhSDsoAzH5QjZ+ejhUTb2Fcywkjo1lT1fP6+Gn2UIXqhEOl0Nzn5BTG+BtB3nRZq58XBKpcm1KgM&#10;JKKEgw7It6XarlMife06VImZlhPTVFZKQvY+r9V2A00fIQxaXEqA15TwgpMF7SjpFWoHCdgh6r+g&#10;rBbRo+/STHhbTUSKIsRiMX+hzbcBgipcSGoMV9Hx/8GKL8fnyLSkSbjjzIGljj9pp1i9rLM4Y8CG&#10;Yh7cc7zsMDzHzPTURZv/xIGdiqDnq6DqlJigw3q1JKEFOe7Wy/WHInd1uxoips/KW5aNlhvKW0SE&#10;4xMmSkehv0JyJuPY2PL1ql4RJtDoddRyMm2g8tH15S56o+WjNibfwNjvH0xkR8jtL18mRbh/hOUk&#10;O8BhiiuuaTAGBfKTkyydA+ni6D3wXIJVkjOj6PlkiwChSaDNLTJFDa43/4im9MZRFVnbSc1s7b08&#10;UysOIep+IDUWpdLsodaXmi9jmmfr931Buj3N7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sEs2n&#10;2AAAAAoBAAAPAAAAAAAAAAEAIAAAACIAAABkcnMvZG93bnJldi54bWxQSwECFAAUAAAACACHTuJA&#10;688BhugBAADiAwAADgAAAAAAAAABACAAAAAnAQAAZHJzL2Uyb0RvYy54bWxQSwUGAAAAAAYABgBZ&#10;AQAAgQUAAAAA&#10;">
                <v:fill on="f" focussize="0,0"/>
                <v:stroke color="#000000" joinstyle="round" endarrow="block"/>
                <v:imagedata o:title=""/>
                <o:lock v:ext="edit" aspectratio="f"/>
              </v:line>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4743450</wp:posOffset>
                </wp:positionH>
                <wp:positionV relativeFrom="paragraph">
                  <wp:posOffset>327660</wp:posOffset>
                </wp:positionV>
                <wp:extent cx="400050" cy="838200"/>
                <wp:effectExtent l="7620" t="7620" r="11430" b="11430"/>
                <wp:wrapNone/>
                <wp:docPr id="83" name="文本框 88"/>
                <wp:cNvGraphicFramePr/>
                <a:graphic xmlns:a="http://schemas.openxmlformats.org/drawingml/2006/main">
                  <a:graphicData uri="http://schemas.microsoft.com/office/word/2010/wordprocessingShape">
                    <wps:wsp>
                      <wps:cNvSpPr txBox="1"/>
                      <wps:spPr>
                        <a:xfrm>
                          <a:off x="0" y="0"/>
                          <a:ext cx="400050" cy="838200"/>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spacing w:line="240" w:lineRule="auto"/>
                              <w:ind w:firstLine="480"/>
                              <w:rPr>
                                <w:rFonts w:ascii="仿宋" w:hAnsi="仿宋" w:cs="仿宋"/>
                                <w:sz w:val="24"/>
                                <w:szCs w:val="24"/>
                              </w:rPr>
                            </w:pPr>
                            <w:r>
                              <w:rPr>
                                <w:rFonts w:hint="eastAsia" w:ascii="仿宋" w:hAnsi="仿宋" w:cs="仿宋"/>
                                <w:sz w:val="24"/>
                                <w:szCs w:val="24"/>
                              </w:rPr>
                              <w:t>信息反馈</w:t>
                            </w:r>
                          </w:p>
                        </w:txbxContent>
                      </wps:txbx>
                      <wps:bodyPr vert="eaVert" upright="1"/>
                    </wps:wsp>
                  </a:graphicData>
                </a:graphic>
              </wp:anchor>
            </w:drawing>
          </mc:Choice>
          <mc:Fallback>
            <w:pict>
              <v:shape id="文本框 88" o:spid="_x0000_s1026" o:spt="202" type="#_x0000_t202" style="position:absolute;left:0pt;margin-left:373.5pt;margin-top:25.8pt;height:66pt;width:31.5pt;z-index:251701248;mso-width-relative:page;mso-height-relative:page;" fillcolor="#FFFFFF" filled="t" stroked="t" coordsize="21600,21600" o:gfxdata="UEsDBAoAAAAAAIdO4kAAAAAAAAAAAAAAAAAEAAAAZHJzL1BLAwQUAAAACACHTuJAxHrEotYAAAAK&#10;AQAADwAAAGRycy9kb3ducmV2LnhtbE2PQU7DMBBF90jcwRokdtROgSQKcbpARV23cAAnHhIrsR3Z&#10;Tpty+g4rWM7M05/3691qJ3bGEI13ErKNAIau89q4XsLX58dTCSwm5bSavEMJV4ywa+7valVpf3FH&#10;PJ9SzyjExUpJGFKaK85jN6BVceNndHT79sGqRGPouQ7qQuF24lshcm6VcfRhUDO+D9iNp8VKWPbC&#10;Hta5DeN2ND/XVOznoxmlfHzIxBuwhGv6g+FXn9ShIafWL05HNkkoXgrqkiS8ZjkwAspM0KIlsnzO&#10;gTc1/1+huQFQSwMEFAAAAAgAh07iQMn5nGtJAgAAzQQAAA4AAABkcnMvZTJvRG9jLnhtbK1UzY7T&#10;MBC+I/EOlu806S6FKGq6EpRyQYBYfs5u4iSW/CfbbdMXgDfgxIU7z9Xn4LPTdqtFoD2QQzKZGc/P&#10;N994fjMoSbbceWF0RaeTnBKua9MI3VX008fVk4ISH5humDSaV3TPPb1ZPH4039mSX5neyIY7giDa&#10;lztb0T4EW2aZr3uumJ8YyzWMrXGKBfy6Lmsc2yG6ktlVnj/LdsY11pmaew/tcjTSY0T3kICmbUXN&#10;l6beKK7DGNVxyQJa8r2wni5StW3L6/CubT0PRFYUnYb0RhLI6/jOFnNWdo7ZXtTHEthDSrjXk2JC&#10;I+k51JIFRjZO/BFKidoZb9owqY3KxkYSIuhimt/D5rZnlqdeALW3Z9D9/wtbv92+d0Q0FS2uKdFM&#10;YeKH798OP34dfn4lRREB2llfwu/WwjMML8wA2pz0HsrY99A6Fb/oiMAOePdnePkQSA3l0zzPZ7DU&#10;MBXXBcgQo2R3h63z4TU3ikShog7TS6Cy7RsfRteTyxHrZiWkJM6ELyL0Ca6YNRk9zowCsQaIjWrv&#10;uvVL6ciWgRCr9ByL6Pyl9xS1or6o+vcRlN+dUkmhCYtrdORVEJJ/QBNj6WBZKjfGlJrsgOKseD4D&#10;Hgxr1IK+EJXFKLzuxsxGivORv5fhL90iQEvm+7HDZIoNslKJwF2Ses6aV7ohYW8xbY0tp7EaxRtK&#10;JMelEKXkGZiQD/EECFJjlJEpIyOiFIb1gDBRXJtmD/bg2sFcOfuMLyUb60TXQ5HYlA6D5YkRx42M&#10;a3T5n1Lc3UK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R6xKLWAAAACgEAAA8AAAAAAAAAAQAg&#10;AAAAIgAAAGRycy9kb3ducmV2LnhtbFBLAQIUABQAAAAIAIdO4kDJ+ZxrSQIAAM0EAAAOAAAAAAAA&#10;AAEAIAAAACUBAABkcnMvZTJvRG9jLnhtbFBLBQYAAAAABgAGAFkBAADgBQAAAAA=&#10;">
                <v:fill type="gradient" on="t" color2="#FFFFFF" angle="90" focus="100%" focussize="0,0">
                  <o:fill type="gradientUnscaled" v:ext="backwardCompatible"/>
                </v:fill>
                <v:stroke weight="1.25pt" color="#FFFFFF" joinstyle="miter"/>
                <v:imagedata o:title=""/>
                <o:lock v:ext="edit" aspectratio="f"/>
                <v:textbox style="layout-flow:vertical-ideographic;">
                  <w:txbxContent>
                    <w:p>
                      <w:pPr>
                        <w:spacing w:line="240" w:lineRule="auto"/>
                        <w:ind w:firstLine="480"/>
                        <w:rPr>
                          <w:rFonts w:ascii="仿宋" w:hAnsi="仿宋" w:cs="仿宋"/>
                          <w:sz w:val="24"/>
                          <w:szCs w:val="24"/>
                        </w:rPr>
                      </w:pPr>
                      <w:r>
                        <w:rPr>
                          <w:rFonts w:hint="eastAsia" w:ascii="仿宋" w:hAnsi="仿宋" w:cs="仿宋"/>
                          <w:sz w:val="24"/>
                          <w:szCs w:val="24"/>
                        </w:rPr>
                        <w:t>信息反馈</w:t>
                      </w:r>
                    </w:p>
                  </w:txbxContent>
                </v:textbox>
              </v:shap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1088390</wp:posOffset>
                </wp:positionH>
                <wp:positionV relativeFrom="paragraph">
                  <wp:posOffset>313055</wp:posOffset>
                </wp:positionV>
                <wp:extent cx="503555" cy="1285240"/>
                <wp:effectExtent l="4445" t="4445" r="6350" b="5715"/>
                <wp:wrapNone/>
                <wp:docPr id="26" name="矩形 89"/>
                <wp:cNvGraphicFramePr/>
                <a:graphic xmlns:a="http://schemas.openxmlformats.org/drawingml/2006/main">
                  <a:graphicData uri="http://schemas.microsoft.com/office/word/2010/wordprocessingShape">
                    <wps:wsp>
                      <wps:cNvSpPr/>
                      <wps:spPr>
                        <a:xfrm>
                          <a:off x="0" y="0"/>
                          <a:ext cx="503555" cy="1285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420"/>
                              <w:jc w:val="center"/>
                              <w:rPr>
                                <w:rFonts w:ascii="仿宋" w:hAnsi="仿宋" w:cs="仿宋"/>
                                <w:sz w:val="21"/>
                                <w:szCs w:val="24"/>
                              </w:rPr>
                            </w:pPr>
                            <w:r>
                              <w:rPr>
                                <w:rFonts w:hint="eastAsia" w:ascii="仿宋" w:hAnsi="仿宋" w:cs="仿宋"/>
                                <w:sz w:val="21"/>
                                <w:szCs w:val="24"/>
                              </w:rPr>
                              <w:t>信</w:t>
                            </w:r>
                          </w:p>
                          <w:p>
                            <w:pPr>
                              <w:spacing w:line="240" w:lineRule="auto"/>
                              <w:ind w:firstLine="420"/>
                              <w:jc w:val="center"/>
                              <w:rPr>
                                <w:rFonts w:ascii="仿宋" w:hAnsi="仿宋" w:cs="仿宋"/>
                                <w:sz w:val="21"/>
                                <w:szCs w:val="24"/>
                              </w:rPr>
                            </w:pPr>
                            <w:r>
                              <w:rPr>
                                <w:rFonts w:hint="eastAsia" w:ascii="仿宋" w:hAnsi="仿宋" w:cs="仿宋"/>
                                <w:sz w:val="21"/>
                                <w:szCs w:val="24"/>
                              </w:rPr>
                              <w:t>息</w:t>
                            </w:r>
                          </w:p>
                          <w:p>
                            <w:pPr>
                              <w:spacing w:line="240" w:lineRule="auto"/>
                              <w:ind w:firstLine="420"/>
                              <w:jc w:val="center"/>
                              <w:rPr>
                                <w:rFonts w:ascii="仿宋" w:hAnsi="仿宋" w:cs="仿宋"/>
                                <w:sz w:val="21"/>
                                <w:szCs w:val="24"/>
                              </w:rPr>
                            </w:pPr>
                            <w:r>
                              <w:rPr>
                                <w:rFonts w:hint="eastAsia" w:ascii="仿宋" w:hAnsi="仿宋" w:cs="仿宋"/>
                                <w:sz w:val="21"/>
                                <w:szCs w:val="24"/>
                              </w:rPr>
                              <w:t>通</w:t>
                            </w:r>
                          </w:p>
                          <w:p>
                            <w:pPr>
                              <w:spacing w:line="240" w:lineRule="auto"/>
                              <w:ind w:firstLine="420"/>
                              <w:jc w:val="center"/>
                              <w:rPr>
                                <w:rFonts w:ascii="仿宋" w:hAnsi="仿宋" w:cs="仿宋"/>
                                <w:sz w:val="21"/>
                                <w:szCs w:val="24"/>
                              </w:rPr>
                            </w:pPr>
                            <w:r>
                              <w:rPr>
                                <w:rFonts w:hint="eastAsia" w:ascii="仿宋" w:hAnsi="仿宋" w:cs="仿宋"/>
                                <w:sz w:val="21"/>
                                <w:szCs w:val="24"/>
                              </w:rPr>
                              <w:t>讯</w:t>
                            </w:r>
                          </w:p>
                          <w:p>
                            <w:pPr>
                              <w:spacing w:line="240" w:lineRule="auto"/>
                              <w:ind w:firstLine="420"/>
                              <w:jc w:val="center"/>
                              <w:rPr>
                                <w:rFonts w:ascii="仿宋" w:hAnsi="仿宋" w:cs="仿宋"/>
                                <w:szCs w:val="28"/>
                              </w:rPr>
                            </w:pPr>
                            <w:r>
                              <w:rPr>
                                <w:rFonts w:hint="eastAsia" w:ascii="仿宋" w:hAnsi="仿宋" w:cs="仿宋"/>
                                <w:sz w:val="21"/>
                                <w:szCs w:val="24"/>
                              </w:rPr>
                              <w:t>组</w:t>
                            </w:r>
                          </w:p>
                        </w:txbxContent>
                      </wps:txbx>
                      <wps:bodyPr upright="1"/>
                    </wps:wsp>
                  </a:graphicData>
                </a:graphic>
              </wp:anchor>
            </w:drawing>
          </mc:Choice>
          <mc:Fallback>
            <w:pict>
              <v:rect id="矩形 89" o:spid="_x0000_s1026" o:spt="1" style="position:absolute;left:0pt;margin-left:85.7pt;margin-top:24.65pt;height:101.2pt;width:39.65pt;z-index:251685888;mso-width-relative:page;mso-height-relative:page;" fillcolor="#FFFFFF" filled="t" stroked="t" coordsize="21600,21600" o:gfxdata="UEsDBAoAAAAAAIdO4kAAAAAAAAAAAAAAAAAEAAAAZHJzL1BLAwQUAAAACACHTuJAAb+MPdgAAAAK&#10;AQAADwAAAGRycy9kb3ducmV2LnhtbE2PwU6DQBCG7ya+w2ZMvNldaBVLWXrQ1MRjSy/eFpgCys4S&#10;dmnRp3d60tv8mS//fJNtZ9uLM46+c6QhWigQSJWrO2o0HIvdwzMIHwzVpneEGr7Rwza/vclMWrsL&#10;7fF8CI3gEvKp0dCGMKRS+qpFa/zCDUi8O7nRmsBxbGQ9mguX217GSj1JazriC60Z8KXF6uswWQ1l&#10;Fx/Nz754U3a9W4b3uficPl61vr+L1AZEwDn8wXDVZ3XI2al0E9Ve9JyTaMWohtV6CYKB+FElIMrr&#10;ECUg80z+fyH/BVBLAwQUAAAACACHTuJAPyFDQgUCAAArBAAADgAAAGRycy9lMm9Eb2MueG1srVPN&#10;jtMwEL4j8Q6W7zRpIKtu1HQPlHJBsNLCA0xtJ7HkP9lukz4NEjcegsdBvAZjt3R/2EMPm0Myjsff&#10;fN834+XNpBXZCx+kNS2dz0pKhGGWS9O39NvXzZsFJSGC4aCsES09iEBvVq9fLUfXiMoOVnHhCYKY&#10;0IyupUOMrimKwAahIcysEwY3O+s1RFz6vuAeRkTXqqjK8qoYrefOWyZCwL/r4yY9IfpLAG3XSSbW&#10;lu20MPGI6oWCiJLCIF2gq8y26wSLX7ouiEhUS1FpzG8sgvE2vYvVEpregxskO1GASyg80aRBGix6&#10;hlpDBLLz8j8oLZm3wXZxxqwujkKyI6hiXj7x5m4AJ7IWtDq4s+nh5WDZ5/2tJ5K3tLqixIDGjv/5&#10;/vP3rx9kcZ3cGV1oMOnO3frTKmCYpE6d1+mLIsiUHT2cHRVTJAx/1uXbuq4pYbg1rxZ19S5bXtyf&#10;dj7Ej8JqkoKWeuxYNhL2n0LEipj6LyUVC1ZJvpFK5YXvt++VJ3vA7m7ykyjjkUdpypCxpdd1lYgA&#10;jmyHo4Khdig7mD7Xe3QiPAQu8/MccCK2hjAcCWSElAaNllEku6AZBPAPhpN4cOiswRtFExktOCVK&#10;4AVMUc6MINUlmahOGRSZGnNsRYritJ0QJoVbyw/Y053zsh/Q0nmmnnZwhrI7p3lPQ/pwnUHv7/jq&#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G/jD3YAAAACgEAAA8AAAAAAAAAAQAgAAAAIgAAAGRy&#10;cy9kb3ducmV2LnhtbFBLAQIUABQAAAAIAIdO4kA/IUNCBQIAACsEAAAOAAAAAAAAAAEAIAAAACcB&#10;AABkcnMvZTJvRG9jLnhtbFBLBQYAAAAABgAGAFkBAACeBQAAAAA=&#10;">
                <v:fill on="t" focussize="0,0"/>
                <v:stroke color="#000000" joinstyle="miter"/>
                <v:imagedata o:title=""/>
                <o:lock v:ext="edit" aspectratio="f"/>
                <v:textbox>
                  <w:txbxContent>
                    <w:p>
                      <w:pPr>
                        <w:spacing w:line="240" w:lineRule="auto"/>
                        <w:ind w:firstLine="420"/>
                        <w:jc w:val="center"/>
                        <w:rPr>
                          <w:rFonts w:ascii="仿宋" w:hAnsi="仿宋" w:cs="仿宋"/>
                          <w:sz w:val="21"/>
                          <w:szCs w:val="24"/>
                        </w:rPr>
                      </w:pPr>
                      <w:r>
                        <w:rPr>
                          <w:rFonts w:hint="eastAsia" w:ascii="仿宋" w:hAnsi="仿宋" w:cs="仿宋"/>
                          <w:sz w:val="21"/>
                          <w:szCs w:val="24"/>
                        </w:rPr>
                        <w:t>信</w:t>
                      </w:r>
                    </w:p>
                    <w:p>
                      <w:pPr>
                        <w:spacing w:line="240" w:lineRule="auto"/>
                        <w:ind w:firstLine="420"/>
                        <w:jc w:val="center"/>
                        <w:rPr>
                          <w:rFonts w:ascii="仿宋" w:hAnsi="仿宋" w:cs="仿宋"/>
                          <w:sz w:val="21"/>
                          <w:szCs w:val="24"/>
                        </w:rPr>
                      </w:pPr>
                      <w:r>
                        <w:rPr>
                          <w:rFonts w:hint="eastAsia" w:ascii="仿宋" w:hAnsi="仿宋" w:cs="仿宋"/>
                          <w:sz w:val="21"/>
                          <w:szCs w:val="24"/>
                        </w:rPr>
                        <w:t>息</w:t>
                      </w:r>
                    </w:p>
                    <w:p>
                      <w:pPr>
                        <w:spacing w:line="240" w:lineRule="auto"/>
                        <w:ind w:firstLine="420"/>
                        <w:jc w:val="center"/>
                        <w:rPr>
                          <w:rFonts w:ascii="仿宋" w:hAnsi="仿宋" w:cs="仿宋"/>
                          <w:sz w:val="21"/>
                          <w:szCs w:val="24"/>
                        </w:rPr>
                      </w:pPr>
                      <w:r>
                        <w:rPr>
                          <w:rFonts w:hint="eastAsia" w:ascii="仿宋" w:hAnsi="仿宋" w:cs="仿宋"/>
                          <w:sz w:val="21"/>
                          <w:szCs w:val="24"/>
                        </w:rPr>
                        <w:t>通</w:t>
                      </w:r>
                    </w:p>
                    <w:p>
                      <w:pPr>
                        <w:spacing w:line="240" w:lineRule="auto"/>
                        <w:ind w:firstLine="420"/>
                        <w:jc w:val="center"/>
                        <w:rPr>
                          <w:rFonts w:ascii="仿宋" w:hAnsi="仿宋" w:cs="仿宋"/>
                          <w:sz w:val="21"/>
                          <w:szCs w:val="24"/>
                        </w:rPr>
                      </w:pPr>
                      <w:r>
                        <w:rPr>
                          <w:rFonts w:hint="eastAsia" w:ascii="仿宋" w:hAnsi="仿宋" w:cs="仿宋"/>
                          <w:sz w:val="21"/>
                          <w:szCs w:val="24"/>
                        </w:rPr>
                        <w:t>讯</w:t>
                      </w:r>
                    </w:p>
                    <w:p>
                      <w:pPr>
                        <w:spacing w:line="240" w:lineRule="auto"/>
                        <w:ind w:firstLine="420"/>
                        <w:jc w:val="center"/>
                        <w:rPr>
                          <w:rFonts w:ascii="仿宋" w:hAnsi="仿宋" w:cs="仿宋"/>
                          <w:szCs w:val="28"/>
                        </w:rPr>
                      </w:pPr>
                      <w:r>
                        <w:rPr>
                          <w:rFonts w:hint="eastAsia" w:ascii="仿宋" w:hAnsi="仿宋" w:cs="仿宋"/>
                          <w:sz w:val="21"/>
                          <w:szCs w:val="24"/>
                        </w:rPr>
                        <w:t>组</w:t>
                      </w:r>
                    </w:p>
                  </w:txbxContent>
                </v:textbox>
              </v:rect>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1697990</wp:posOffset>
                </wp:positionH>
                <wp:positionV relativeFrom="paragraph">
                  <wp:posOffset>323850</wp:posOffset>
                </wp:positionV>
                <wp:extent cx="503555" cy="1266825"/>
                <wp:effectExtent l="4445" t="4445" r="6350" b="5080"/>
                <wp:wrapNone/>
                <wp:docPr id="14" name="Rectangle 246"/>
                <wp:cNvGraphicFramePr/>
                <a:graphic xmlns:a="http://schemas.openxmlformats.org/drawingml/2006/main">
                  <a:graphicData uri="http://schemas.microsoft.com/office/word/2010/wordprocessingShape">
                    <wps:wsp>
                      <wps:cNvSpPr/>
                      <wps:spPr>
                        <a:xfrm>
                          <a:off x="0" y="0"/>
                          <a:ext cx="503555" cy="12668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420"/>
                              <w:jc w:val="center"/>
                              <w:rPr>
                                <w:rFonts w:ascii="仿宋" w:hAnsi="仿宋" w:cs="仿宋"/>
                                <w:sz w:val="21"/>
                                <w:szCs w:val="24"/>
                              </w:rPr>
                            </w:pPr>
                            <w:r>
                              <w:rPr>
                                <w:rFonts w:hint="eastAsia" w:ascii="仿宋" w:hAnsi="仿宋" w:cs="仿宋"/>
                                <w:sz w:val="21"/>
                                <w:szCs w:val="24"/>
                              </w:rPr>
                              <w:t>环</w:t>
                            </w:r>
                          </w:p>
                          <w:p>
                            <w:pPr>
                              <w:spacing w:line="240" w:lineRule="auto"/>
                              <w:ind w:firstLine="420"/>
                              <w:jc w:val="center"/>
                              <w:rPr>
                                <w:rFonts w:ascii="仿宋" w:hAnsi="仿宋" w:cs="仿宋"/>
                                <w:sz w:val="21"/>
                                <w:szCs w:val="24"/>
                              </w:rPr>
                            </w:pPr>
                            <w:r>
                              <w:rPr>
                                <w:rFonts w:hint="eastAsia" w:ascii="仿宋" w:hAnsi="仿宋" w:cs="仿宋"/>
                                <w:sz w:val="21"/>
                                <w:szCs w:val="24"/>
                              </w:rPr>
                              <w:t>境</w:t>
                            </w:r>
                          </w:p>
                          <w:p>
                            <w:pPr>
                              <w:spacing w:line="240" w:lineRule="auto"/>
                              <w:ind w:firstLine="420"/>
                              <w:jc w:val="center"/>
                              <w:rPr>
                                <w:rFonts w:ascii="仿宋" w:hAnsi="仿宋" w:cs="仿宋"/>
                                <w:sz w:val="21"/>
                                <w:szCs w:val="24"/>
                              </w:rPr>
                            </w:pPr>
                            <w:r>
                              <w:rPr>
                                <w:rFonts w:hint="eastAsia" w:ascii="仿宋" w:hAnsi="仿宋" w:cs="仿宋"/>
                                <w:sz w:val="21"/>
                                <w:szCs w:val="24"/>
                              </w:rPr>
                              <w:t>保</w:t>
                            </w:r>
                          </w:p>
                          <w:p>
                            <w:pPr>
                              <w:spacing w:line="240" w:lineRule="auto"/>
                              <w:ind w:firstLine="420"/>
                              <w:jc w:val="center"/>
                              <w:rPr>
                                <w:rFonts w:ascii="仿宋" w:hAnsi="仿宋" w:cs="仿宋"/>
                                <w:sz w:val="21"/>
                                <w:szCs w:val="24"/>
                              </w:rPr>
                            </w:pPr>
                            <w:r>
                              <w:rPr>
                                <w:rFonts w:hint="eastAsia" w:ascii="仿宋" w:hAnsi="仿宋" w:cs="仿宋"/>
                                <w:sz w:val="21"/>
                                <w:szCs w:val="24"/>
                              </w:rPr>
                              <w:t>护</w:t>
                            </w:r>
                          </w:p>
                          <w:p>
                            <w:pPr>
                              <w:spacing w:line="240" w:lineRule="auto"/>
                              <w:ind w:firstLine="420"/>
                              <w:jc w:val="center"/>
                              <w:rPr>
                                <w:rFonts w:ascii="仿宋" w:hAnsi="仿宋" w:cs="仿宋"/>
                                <w:sz w:val="21"/>
                                <w:szCs w:val="24"/>
                              </w:rPr>
                            </w:pPr>
                            <w:r>
                              <w:rPr>
                                <w:rFonts w:hint="eastAsia" w:ascii="仿宋" w:hAnsi="仿宋" w:cs="仿宋"/>
                                <w:sz w:val="21"/>
                                <w:szCs w:val="24"/>
                              </w:rPr>
                              <w:t>组</w:t>
                            </w:r>
                          </w:p>
                        </w:txbxContent>
                      </wps:txbx>
                      <wps:bodyPr upright="1"/>
                    </wps:wsp>
                  </a:graphicData>
                </a:graphic>
              </wp:anchor>
            </w:drawing>
          </mc:Choice>
          <mc:Fallback>
            <w:pict>
              <v:rect id="Rectangle 246" o:spid="_x0000_s1026" o:spt="1" style="position:absolute;left:0pt;margin-left:133.7pt;margin-top:25.5pt;height:99.75pt;width:39.65pt;z-index:251676672;mso-width-relative:page;mso-height-relative:page;" fillcolor="#FFFFFF" filled="t" stroked="t" coordsize="21600,21600" o:gfxdata="UEsDBAoAAAAAAIdO4kAAAAAAAAAAAAAAAAAEAAAAZHJzL1BLAwQUAAAACACHTuJAg/Zf2NgAAAAK&#10;AQAADwAAAGRycy9kb3ducmV2LnhtbE2PQU+DQBCF7yb+h82YeLO70EIVWXrQ1MRjSy/eBhgBZXcJ&#10;u7Tor3c86XHyvrz5Xr5bzCDONPneWQ3RSoEgW7umt62GU7m/uwfhA9oGB2dJwxd52BXXVzlmjbvY&#10;A52PoRVcYn2GGroQxkxKX3dk0K/cSJazdzcZDHxOrWwmvHC5GWSsVCoN9pY/dDjSU0f153E2Gqo+&#10;PuH3oXxR5mG/Dq9L+TG/PWt9exOpRxCBlvAHw68+q0PBTpWbbePFoCFOtxtGNSQRb2JgvUm3ICpO&#10;EpWALHL5f0LxA1BLAwQUAAAACACHTuJAR1LuH/kBAAAvBAAADgAAAGRycy9lMm9Eb2MueG1srVPL&#10;jtswDLwX6D8IunftpOtga8TZQ9P0UrSL7vYDGJm2BegFSYmdvy8lp9lHe8ihPsikRA05Q2p9P2nF&#10;juiDtKbhi5uSMzTCttL0Df/1tPtwx1mIYFpQ1mDDTxj4/eb9u/XoalzawaoWPSMQE+rRNXyI0dVF&#10;EcSAGsKNdWjosLNeQyTX90XrYSR0rYplWa6K0frWeSswBNrdzof8jOivAbRdJwVurThoNHFG9agg&#10;EqUwSBf4JlfbdSjij64LGJlqODGNeaUkZO/TWmzWUPce3CDFuQS4poQ3nDRIQ0kvUFuIwA5e/gWl&#10;pfA22C7eCKuLmUhWhFgsyjfaPA7gMHMhqYO7iB7+H6z4fnzwTLY0CbecGdDU8Z+kGpheIVverpJC&#10;ows1BT66B3/2ApmJ7tR5nf5EhE1Z1dNFVZwiE7RZlR+rquJM0NFiuVrdLasEWjzfdj7Er2g1S0bD&#10;PeXPYsLxW4hz6J+QlCxYJdudVCo7vt9/Vp4dgTq8y98Z/VWYMmxs+KeKcjMBNLYdjQuZ2hH1YPqc&#10;79WN8BK4zN+/gFNhWwjDXEBGSGFQaxnRZ2tAaL+YlsWTI3UNvSqeitHYcqaQHmGycmQEqa6JJO2U&#10;IQlTY+ZWJCtO+4lgkrm37Yn6enBe9gNJusilpxOao6z9eebToL70M+jzO9/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P2X9jYAAAACgEAAA8AAAAAAAAAAQAgAAAAIgAAAGRycy9kb3ducmV2Lnht&#10;bFBLAQIUABQAAAAIAIdO4kBHUu4f+QEAAC8EAAAOAAAAAAAAAAEAIAAAACcBAABkcnMvZTJvRG9j&#10;LnhtbFBLBQYAAAAABgAGAFkBAACSBQAAAAA=&#10;">
                <v:fill on="t" focussize="0,0"/>
                <v:stroke color="#000000" joinstyle="miter"/>
                <v:imagedata o:title=""/>
                <o:lock v:ext="edit" aspectratio="f"/>
                <v:textbox>
                  <w:txbxContent>
                    <w:p>
                      <w:pPr>
                        <w:spacing w:line="240" w:lineRule="auto"/>
                        <w:ind w:firstLine="420"/>
                        <w:jc w:val="center"/>
                        <w:rPr>
                          <w:rFonts w:ascii="仿宋" w:hAnsi="仿宋" w:cs="仿宋"/>
                          <w:sz w:val="21"/>
                          <w:szCs w:val="24"/>
                        </w:rPr>
                      </w:pPr>
                      <w:r>
                        <w:rPr>
                          <w:rFonts w:hint="eastAsia" w:ascii="仿宋" w:hAnsi="仿宋" w:cs="仿宋"/>
                          <w:sz w:val="21"/>
                          <w:szCs w:val="24"/>
                        </w:rPr>
                        <w:t>环</w:t>
                      </w:r>
                    </w:p>
                    <w:p>
                      <w:pPr>
                        <w:spacing w:line="240" w:lineRule="auto"/>
                        <w:ind w:firstLine="420"/>
                        <w:jc w:val="center"/>
                        <w:rPr>
                          <w:rFonts w:ascii="仿宋" w:hAnsi="仿宋" w:cs="仿宋"/>
                          <w:sz w:val="21"/>
                          <w:szCs w:val="24"/>
                        </w:rPr>
                      </w:pPr>
                      <w:r>
                        <w:rPr>
                          <w:rFonts w:hint="eastAsia" w:ascii="仿宋" w:hAnsi="仿宋" w:cs="仿宋"/>
                          <w:sz w:val="21"/>
                          <w:szCs w:val="24"/>
                        </w:rPr>
                        <w:t>境</w:t>
                      </w:r>
                    </w:p>
                    <w:p>
                      <w:pPr>
                        <w:spacing w:line="240" w:lineRule="auto"/>
                        <w:ind w:firstLine="420"/>
                        <w:jc w:val="center"/>
                        <w:rPr>
                          <w:rFonts w:ascii="仿宋" w:hAnsi="仿宋" w:cs="仿宋"/>
                          <w:sz w:val="21"/>
                          <w:szCs w:val="24"/>
                        </w:rPr>
                      </w:pPr>
                      <w:r>
                        <w:rPr>
                          <w:rFonts w:hint="eastAsia" w:ascii="仿宋" w:hAnsi="仿宋" w:cs="仿宋"/>
                          <w:sz w:val="21"/>
                          <w:szCs w:val="24"/>
                        </w:rPr>
                        <w:t>保</w:t>
                      </w:r>
                    </w:p>
                    <w:p>
                      <w:pPr>
                        <w:spacing w:line="240" w:lineRule="auto"/>
                        <w:ind w:firstLine="420"/>
                        <w:jc w:val="center"/>
                        <w:rPr>
                          <w:rFonts w:ascii="仿宋" w:hAnsi="仿宋" w:cs="仿宋"/>
                          <w:sz w:val="21"/>
                          <w:szCs w:val="24"/>
                        </w:rPr>
                      </w:pPr>
                      <w:r>
                        <w:rPr>
                          <w:rFonts w:hint="eastAsia" w:ascii="仿宋" w:hAnsi="仿宋" w:cs="仿宋"/>
                          <w:sz w:val="21"/>
                          <w:szCs w:val="24"/>
                        </w:rPr>
                        <w:t>护</w:t>
                      </w:r>
                    </w:p>
                    <w:p>
                      <w:pPr>
                        <w:spacing w:line="240" w:lineRule="auto"/>
                        <w:ind w:firstLine="420"/>
                        <w:jc w:val="center"/>
                        <w:rPr>
                          <w:rFonts w:ascii="仿宋" w:hAnsi="仿宋" w:cs="仿宋"/>
                          <w:sz w:val="21"/>
                          <w:szCs w:val="24"/>
                        </w:rPr>
                      </w:pPr>
                      <w:r>
                        <w:rPr>
                          <w:rFonts w:hint="eastAsia" w:ascii="仿宋" w:hAnsi="仿宋" w:cs="仿宋"/>
                          <w:sz w:val="21"/>
                          <w:szCs w:val="24"/>
                        </w:rPr>
                        <w:t>组</w:t>
                      </w:r>
                    </w:p>
                  </w:txbxContent>
                </v:textbox>
              </v:rect>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2365375</wp:posOffset>
                </wp:positionH>
                <wp:positionV relativeFrom="paragraph">
                  <wp:posOffset>326390</wp:posOffset>
                </wp:positionV>
                <wp:extent cx="503555" cy="1275715"/>
                <wp:effectExtent l="4445" t="4445" r="6350" b="15240"/>
                <wp:wrapNone/>
                <wp:docPr id="15" name="Rectangle 252"/>
                <wp:cNvGraphicFramePr/>
                <a:graphic xmlns:a="http://schemas.openxmlformats.org/drawingml/2006/main">
                  <a:graphicData uri="http://schemas.microsoft.com/office/word/2010/wordprocessingShape">
                    <wps:wsp>
                      <wps:cNvSpPr/>
                      <wps:spPr>
                        <a:xfrm>
                          <a:off x="0" y="0"/>
                          <a:ext cx="503555" cy="1275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420"/>
                              <w:jc w:val="center"/>
                              <w:rPr>
                                <w:rFonts w:ascii="仿宋" w:hAnsi="仿宋" w:cs="仿宋"/>
                                <w:sz w:val="21"/>
                                <w:szCs w:val="24"/>
                              </w:rPr>
                            </w:pPr>
                            <w:r>
                              <w:rPr>
                                <w:rFonts w:hint="eastAsia" w:ascii="仿宋" w:hAnsi="仿宋" w:cs="仿宋"/>
                                <w:sz w:val="21"/>
                                <w:szCs w:val="24"/>
                              </w:rPr>
                              <w:t>抢</w:t>
                            </w:r>
                          </w:p>
                          <w:p>
                            <w:pPr>
                              <w:spacing w:line="240" w:lineRule="auto"/>
                              <w:ind w:firstLine="420"/>
                              <w:jc w:val="center"/>
                              <w:rPr>
                                <w:rFonts w:ascii="仿宋" w:hAnsi="仿宋" w:cs="仿宋"/>
                                <w:sz w:val="21"/>
                                <w:szCs w:val="24"/>
                              </w:rPr>
                            </w:pPr>
                            <w:r>
                              <w:rPr>
                                <w:rFonts w:hint="eastAsia" w:ascii="仿宋" w:hAnsi="仿宋" w:cs="仿宋"/>
                                <w:sz w:val="21"/>
                                <w:szCs w:val="24"/>
                              </w:rPr>
                              <w:t>险</w:t>
                            </w:r>
                          </w:p>
                          <w:p>
                            <w:pPr>
                              <w:spacing w:line="240" w:lineRule="auto"/>
                              <w:ind w:firstLine="420"/>
                              <w:jc w:val="center"/>
                              <w:rPr>
                                <w:rFonts w:ascii="仿宋" w:hAnsi="仿宋" w:cs="仿宋"/>
                                <w:sz w:val="21"/>
                                <w:szCs w:val="24"/>
                              </w:rPr>
                            </w:pPr>
                            <w:r>
                              <w:rPr>
                                <w:rFonts w:hint="eastAsia" w:ascii="仿宋" w:hAnsi="仿宋" w:cs="仿宋"/>
                                <w:sz w:val="21"/>
                                <w:szCs w:val="24"/>
                              </w:rPr>
                              <w:t>维</w:t>
                            </w:r>
                          </w:p>
                          <w:p>
                            <w:pPr>
                              <w:spacing w:line="240" w:lineRule="auto"/>
                              <w:ind w:firstLine="420"/>
                              <w:jc w:val="center"/>
                              <w:rPr>
                                <w:rFonts w:ascii="仿宋" w:hAnsi="仿宋" w:cs="仿宋"/>
                                <w:sz w:val="21"/>
                                <w:szCs w:val="24"/>
                              </w:rPr>
                            </w:pPr>
                            <w:r>
                              <w:rPr>
                                <w:rFonts w:hint="eastAsia" w:ascii="仿宋" w:hAnsi="仿宋" w:cs="仿宋"/>
                                <w:sz w:val="21"/>
                                <w:szCs w:val="24"/>
                              </w:rPr>
                              <w:t>修</w:t>
                            </w:r>
                          </w:p>
                          <w:p>
                            <w:pPr>
                              <w:spacing w:line="240" w:lineRule="auto"/>
                              <w:ind w:firstLine="420"/>
                              <w:jc w:val="center"/>
                              <w:rPr>
                                <w:rFonts w:ascii="仿宋" w:hAnsi="仿宋" w:cs="仿宋"/>
                                <w:sz w:val="21"/>
                                <w:szCs w:val="24"/>
                              </w:rPr>
                            </w:pPr>
                            <w:r>
                              <w:rPr>
                                <w:rFonts w:hint="eastAsia" w:ascii="仿宋" w:hAnsi="仿宋" w:cs="仿宋"/>
                                <w:sz w:val="21"/>
                                <w:szCs w:val="24"/>
                              </w:rPr>
                              <w:t>组</w:t>
                            </w:r>
                          </w:p>
                        </w:txbxContent>
                      </wps:txbx>
                      <wps:bodyPr upright="1"/>
                    </wps:wsp>
                  </a:graphicData>
                </a:graphic>
              </wp:anchor>
            </w:drawing>
          </mc:Choice>
          <mc:Fallback>
            <w:pict>
              <v:rect id="Rectangle 252" o:spid="_x0000_s1026" o:spt="1" style="position:absolute;left:0pt;margin-left:186.25pt;margin-top:25.7pt;height:100.45pt;width:39.65pt;z-index:251677696;mso-width-relative:page;mso-height-relative:page;" fillcolor="#FFFFFF" filled="t" stroked="t" coordsize="21600,21600" o:gfxdata="UEsDBAoAAAAAAIdO4kAAAAAAAAAAAAAAAAAEAAAAZHJzL1BLAwQUAAAACACHTuJA8YrJotkAAAAK&#10;AQAADwAAAGRycy9kb3ducmV2LnhtbE2PMU/DMBCFdyT+g3VIbNSO00Ab4nQAFYmxTRe2S2ySQGxH&#10;sdMGfj3HBOPpPr33vWK32IGdzRR67xQkKwHMuMbr3rUKTtX+bgMsRHQaB++Mgi8TYFdeXxWYa39x&#10;B3M+xpZRiAs5KuhiHHPOQ9MZi2HlR+Po9+4ni5HOqeV6wguF24FLIe65xd5RQ4ejeepM83mcrYK6&#10;lyf8PlQvwm73aXxdqo/57Vmp25tEPAKLZol/MPzqkzqU5FT72enABgXpg8wIVZAla2AErLOEttQK&#10;ZCZT4GXB/08ofwBQSwMEFAAAAAgAh07iQMr4Ucz3AQAALwQAAA4AAABkcnMvZTJvRG9jLnhtbK1T&#10;TY/TMBC9I/EfLN/ZpEFhIWq6B0q5IFixyw+YOk5iyV/yuE367xk7pfsBhx7IwZmxx2/mvRmv72aj&#10;2VEGVM62fHVTciatcJ2yQ8t/Pe7efeQMI9gOtLOy5SeJ/G7z9s168o2s3Oh0JwMjEIvN5Fs+xuib&#10;okAxSgN447y0dNi7YCCSG4aiCzARutFFVZYfismFzgcnJCLtbpdDfkYM1wC6vldCbp04GGnjghqk&#10;hkiUcFQe+SZX2/dSxB99jzIy3XJiGvNKScjep7XYrKEZAvhRiXMJcE0JrzgZUJaSXqC2EIEdgvoL&#10;yigRHLo+3ghnioVIVoRYrMpX2jyM4GXmQlKjv4iO/w9WfD/eB6Y6moSaMwuGOv6TVAM7aMmqukoK&#10;TR4bCnzw9+HsIZmJ7twHk/5EhM1Z1dNFVTlHJmizLt/XNYELOlpVt/UtZSKY4um2Dxi/SmdYMloe&#10;KH8WE47fMC6hf0JSMnRadTuldXbCsP+sAzsCdXiXvzP6izBt2dTyT3WVCgEa257GhUzjiTraIed7&#10;cQOfA5f5+xdwKmwLOC4FZIQUBo1RUYZsjRK6L7Zj8eRJXUuviqdijOw405IeYbJyZASlr4kk7bQl&#10;CVNjllYkK877mWCSuXfdifp68EENI0m6yqWnE5qjrP155tOgPvcz6NM73/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8YrJotkAAAAKAQAADwAAAAAAAAABACAAAAAiAAAAZHJzL2Rvd25yZXYueG1s&#10;UEsBAhQAFAAAAAgAh07iQMr4Ucz3AQAALwQAAA4AAAAAAAAAAQAgAAAAKAEAAGRycy9lMm9Eb2Mu&#10;eG1sUEsFBgAAAAAGAAYAWQEAAJEFAAAAAA==&#10;">
                <v:fill on="t" focussize="0,0"/>
                <v:stroke color="#000000" joinstyle="miter"/>
                <v:imagedata o:title=""/>
                <o:lock v:ext="edit" aspectratio="f"/>
                <v:textbox>
                  <w:txbxContent>
                    <w:p>
                      <w:pPr>
                        <w:spacing w:line="240" w:lineRule="auto"/>
                        <w:ind w:firstLine="420"/>
                        <w:jc w:val="center"/>
                        <w:rPr>
                          <w:rFonts w:ascii="仿宋" w:hAnsi="仿宋" w:cs="仿宋"/>
                          <w:sz w:val="21"/>
                          <w:szCs w:val="24"/>
                        </w:rPr>
                      </w:pPr>
                      <w:r>
                        <w:rPr>
                          <w:rFonts w:hint="eastAsia" w:ascii="仿宋" w:hAnsi="仿宋" w:cs="仿宋"/>
                          <w:sz w:val="21"/>
                          <w:szCs w:val="24"/>
                        </w:rPr>
                        <w:t>抢</w:t>
                      </w:r>
                    </w:p>
                    <w:p>
                      <w:pPr>
                        <w:spacing w:line="240" w:lineRule="auto"/>
                        <w:ind w:firstLine="420"/>
                        <w:jc w:val="center"/>
                        <w:rPr>
                          <w:rFonts w:ascii="仿宋" w:hAnsi="仿宋" w:cs="仿宋"/>
                          <w:sz w:val="21"/>
                          <w:szCs w:val="24"/>
                        </w:rPr>
                      </w:pPr>
                      <w:r>
                        <w:rPr>
                          <w:rFonts w:hint="eastAsia" w:ascii="仿宋" w:hAnsi="仿宋" w:cs="仿宋"/>
                          <w:sz w:val="21"/>
                          <w:szCs w:val="24"/>
                        </w:rPr>
                        <w:t>险</w:t>
                      </w:r>
                    </w:p>
                    <w:p>
                      <w:pPr>
                        <w:spacing w:line="240" w:lineRule="auto"/>
                        <w:ind w:firstLine="420"/>
                        <w:jc w:val="center"/>
                        <w:rPr>
                          <w:rFonts w:ascii="仿宋" w:hAnsi="仿宋" w:cs="仿宋"/>
                          <w:sz w:val="21"/>
                          <w:szCs w:val="24"/>
                        </w:rPr>
                      </w:pPr>
                      <w:r>
                        <w:rPr>
                          <w:rFonts w:hint="eastAsia" w:ascii="仿宋" w:hAnsi="仿宋" w:cs="仿宋"/>
                          <w:sz w:val="21"/>
                          <w:szCs w:val="24"/>
                        </w:rPr>
                        <w:t>维</w:t>
                      </w:r>
                    </w:p>
                    <w:p>
                      <w:pPr>
                        <w:spacing w:line="240" w:lineRule="auto"/>
                        <w:ind w:firstLine="420"/>
                        <w:jc w:val="center"/>
                        <w:rPr>
                          <w:rFonts w:ascii="仿宋" w:hAnsi="仿宋" w:cs="仿宋"/>
                          <w:sz w:val="21"/>
                          <w:szCs w:val="24"/>
                        </w:rPr>
                      </w:pPr>
                      <w:r>
                        <w:rPr>
                          <w:rFonts w:hint="eastAsia" w:ascii="仿宋" w:hAnsi="仿宋" w:cs="仿宋"/>
                          <w:sz w:val="21"/>
                          <w:szCs w:val="24"/>
                        </w:rPr>
                        <w:t>修</w:t>
                      </w:r>
                    </w:p>
                    <w:p>
                      <w:pPr>
                        <w:spacing w:line="240" w:lineRule="auto"/>
                        <w:ind w:firstLine="420"/>
                        <w:jc w:val="center"/>
                        <w:rPr>
                          <w:rFonts w:ascii="仿宋" w:hAnsi="仿宋" w:cs="仿宋"/>
                          <w:sz w:val="21"/>
                          <w:szCs w:val="24"/>
                        </w:rPr>
                      </w:pPr>
                      <w:r>
                        <w:rPr>
                          <w:rFonts w:hint="eastAsia" w:ascii="仿宋" w:hAnsi="仿宋" w:cs="仿宋"/>
                          <w:sz w:val="21"/>
                          <w:szCs w:val="24"/>
                        </w:rPr>
                        <w:t>组</w:t>
                      </w:r>
                    </w:p>
                  </w:txbxContent>
                </v:textbox>
              </v:rect>
            </w:pict>
          </mc:Fallback>
        </mc:AlternateContent>
      </w: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3717290</wp:posOffset>
                </wp:positionH>
                <wp:positionV relativeFrom="paragraph">
                  <wp:posOffset>1905</wp:posOffset>
                </wp:positionV>
                <wp:extent cx="503555" cy="1285240"/>
                <wp:effectExtent l="4445" t="4445" r="6350" b="5715"/>
                <wp:wrapNone/>
                <wp:docPr id="25" name="矩形 92"/>
                <wp:cNvGraphicFramePr/>
                <a:graphic xmlns:a="http://schemas.openxmlformats.org/drawingml/2006/main">
                  <a:graphicData uri="http://schemas.microsoft.com/office/word/2010/wordprocessingShape">
                    <wps:wsp>
                      <wps:cNvSpPr/>
                      <wps:spPr>
                        <a:xfrm>
                          <a:off x="0" y="0"/>
                          <a:ext cx="503555" cy="1285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420"/>
                              <w:jc w:val="center"/>
                              <w:rPr>
                                <w:rFonts w:ascii="仿宋" w:hAnsi="仿宋" w:cs="仿宋"/>
                                <w:sz w:val="21"/>
                                <w:szCs w:val="24"/>
                              </w:rPr>
                            </w:pPr>
                            <w:r>
                              <w:rPr>
                                <w:rFonts w:hint="eastAsia" w:ascii="仿宋" w:hAnsi="仿宋" w:cs="仿宋"/>
                                <w:sz w:val="21"/>
                                <w:szCs w:val="24"/>
                              </w:rPr>
                              <w:t>后</w:t>
                            </w:r>
                          </w:p>
                          <w:p>
                            <w:pPr>
                              <w:spacing w:line="240" w:lineRule="auto"/>
                              <w:ind w:firstLine="420"/>
                              <w:jc w:val="center"/>
                              <w:rPr>
                                <w:rFonts w:ascii="仿宋" w:hAnsi="仿宋" w:cs="仿宋"/>
                                <w:sz w:val="21"/>
                                <w:szCs w:val="24"/>
                              </w:rPr>
                            </w:pPr>
                            <w:r>
                              <w:rPr>
                                <w:rFonts w:hint="eastAsia" w:ascii="仿宋" w:hAnsi="仿宋" w:cs="仿宋"/>
                                <w:sz w:val="21"/>
                                <w:szCs w:val="24"/>
                              </w:rPr>
                              <w:t>勤</w:t>
                            </w:r>
                          </w:p>
                          <w:p>
                            <w:pPr>
                              <w:spacing w:line="240" w:lineRule="auto"/>
                              <w:ind w:firstLine="420"/>
                              <w:jc w:val="center"/>
                              <w:rPr>
                                <w:rFonts w:ascii="仿宋" w:hAnsi="仿宋" w:cs="仿宋"/>
                                <w:sz w:val="21"/>
                                <w:szCs w:val="24"/>
                              </w:rPr>
                            </w:pPr>
                            <w:r>
                              <w:rPr>
                                <w:rFonts w:hint="eastAsia" w:ascii="仿宋" w:hAnsi="仿宋" w:cs="仿宋"/>
                                <w:sz w:val="21"/>
                                <w:szCs w:val="24"/>
                              </w:rPr>
                              <w:t>救</w:t>
                            </w:r>
                          </w:p>
                          <w:p>
                            <w:pPr>
                              <w:spacing w:line="240" w:lineRule="auto"/>
                              <w:ind w:firstLine="420"/>
                              <w:jc w:val="center"/>
                              <w:rPr>
                                <w:rFonts w:ascii="仿宋" w:hAnsi="仿宋" w:cs="仿宋"/>
                                <w:sz w:val="21"/>
                                <w:szCs w:val="24"/>
                              </w:rPr>
                            </w:pPr>
                            <w:r>
                              <w:rPr>
                                <w:rFonts w:hint="eastAsia" w:ascii="仿宋" w:hAnsi="仿宋" w:cs="仿宋"/>
                                <w:sz w:val="21"/>
                                <w:szCs w:val="24"/>
                              </w:rPr>
                              <w:t>护</w:t>
                            </w:r>
                          </w:p>
                          <w:p>
                            <w:pPr>
                              <w:spacing w:line="240" w:lineRule="auto"/>
                              <w:ind w:firstLine="420"/>
                              <w:jc w:val="center"/>
                              <w:rPr>
                                <w:rFonts w:ascii="仿宋" w:hAnsi="仿宋" w:cs="仿宋"/>
                                <w:sz w:val="21"/>
                                <w:szCs w:val="21"/>
                              </w:rPr>
                            </w:pPr>
                            <w:r>
                              <w:rPr>
                                <w:rFonts w:hint="eastAsia" w:ascii="仿宋" w:hAnsi="仿宋" w:cs="仿宋"/>
                                <w:sz w:val="21"/>
                                <w:szCs w:val="24"/>
                              </w:rPr>
                              <w:t>组</w:t>
                            </w:r>
                          </w:p>
                        </w:txbxContent>
                      </wps:txbx>
                      <wps:bodyPr upright="1"/>
                    </wps:wsp>
                  </a:graphicData>
                </a:graphic>
              </wp:anchor>
            </w:drawing>
          </mc:Choice>
          <mc:Fallback>
            <w:pict>
              <v:rect id="矩形 92" o:spid="_x0000_s1026" o:spt="1" style="position:absolute;left:0pt;margin-left:292.7pt;margin-top:0.15pt;height:101.2pt;width:39.65pt;z-index:251684864;mso-width-relative:page;mso-height-relative:page;" fillcolor="#FFFFFF" filled="t" stroked="t" coordsize="21600,21600" o:gfxdata="UEsDBAoAAAAAAIdO4kAAAAAAAAAAAAAAAAAEAAAAZHJzL1BLAwQUAAAACACHTuJAXrW5btgAAAAI&#10;AQAADwAAAGRycy9kb3ducmV2LnhtbE2PMU/DMBSEdyT+g/WQ2KjdtE1LGqcDqEiMbbqwvSSPJCV+&#10;jmKnDfx6zFTG053uvkt3k+nEhQbXWtYwnykQxKWtWq41nPL90waE88gVdpZJwzc52GX3dykmlb3y&#10;gS5HX4tQwi5BDY33fSKlKxsy6Ga2Jw7epx0M+iCHWlYDXkO56WSkVCwNthwWGuzppaHy6zgaDUUb&#10;nfDnkL8p87xf+PcpP48fr1o/PszVFoSnyd/C8Icf0CELTIUduXKi07DarJYhqmEBIthxvFyDKDRE&#10;KlqDzFL5/0D2C1BLAwQUAAAACACHTuJATyV6TAQCAAArBAAADgAAAGRycy9lMm9Eb2MueG1srVPN&#10;jtMwEL4j8Q6W7zRpIGg3aroHSrkgWGmXB5jaTmLJf7LdJn0aJG48BI+DeA3GTun+wKEHcnBm7PE3&#10;830zXt1MWpGD8EFa09LloqREGGa5NH1Lv9xvX11REiIYDsoa0dKjCPRm/fLFanSNqOxgFReeIIgJ&#10;zehaOsTomqIIbBAawsI6YfCws15DRNf3BfcwIrpWRVWWb4vReu68ZSIE3N3Mh/SE6C8BtF0nmdhY&#10;ttfCxBnVCwURKYVBukDXudquEyx+7rogIlEtRaYxr5gE7V1ai/UKmt6DGyQ7lQCXlPCMkwZpMOkZ&#10;agMRyN7Lv6C0ZN4G28UFs7qYiWRFkMWyfKbN3QBOZC4odXBn0cP/g2WfDreeSN7SqqbEgMaO//r6&#10;/eePb+S6SuqMLjQYdOdu/ckLaCaqU+d1+iMJMmVFj2dFxRQJw826fF3XCMzwaFld1dWbLHnxcNv5&#10;ED8Iq0kyWuqxY1lIOHwMETNi6J+QlCxYJflWKpUd3+/eKU8OgN3d5i+VjFeehClDxpZe14khAxzZ&#10;DkcFTe2QdjB9zvfkRngMXObvX8CpsA2EYS4gI6QwaLSMIskFzSCAvzecxKNDZQ2+KJqK0YJTogQ+&#10;wGTlyAhSXRKJ7JRBkqkxcyuSFafdhDDJ3Fl+xJ7unZf9gJIuc+npBGcoq3Oa9zSkj/0M+vDG1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rW5btgAAAAIAQAADwAAAAAAAAABACAAAAAiAAAAZHJz&#10;L2Rvd25yZXYueG1sUEsBAhQAFAAAAAgAh07iQE8lekwEAgAAKwQAAA4AAAAAAAAAAQAgAAAAJwEA&#10;AGRycy9lMm9Eb2MueG1sUEsFBgAAAAAGAAYAWQEAAJ0FAAAAAA==&#10;">
                <v:fill on="t" focussize="0,0"/>
                <v:stroke color="#000000" joinstyle="miter"/>
                <v:imagedata o:title=""/>
                <o:lock v:ext="edit" aspectratio="f"/>
                <v:textbox>
                  <w:txbxContent>
                    <w:p>
                      <w:pPr>
                        <w:spacing w:line="240" w:lineRule="auto"/>
                        <w:ind w:firstLine="420"/>
                        <w:jc w:val="center"/>
                        <w:rPr>
                          <w:rFonts w:ascii="仿宋" w:hAnsi="仿宋" w:cs="仿宋"/>
                          <w:sz w:val="21"/>
                          <w:szCs w:val="24"/>
                        </w:rPr>
                      </w:pPr>
                      <w:r>
                        <w:rPr>
                          <w:rFonts w:hint="eastAsia" w:ascii="仿宋" w:hAnsi="仿宋" w:cs="仿宋"/>
                          <w:sz w:val="21"/>
                          <w:szCs w:val="24"/>
                        </w:rPr>
                        <w:t>后</w:t>
                      </w:r>
                    </w:p>
                    <w:p>
                      <w:pPr>
                        <w:spacing w:line="240" w:lineRule="auto"/>
                        <w:ind w:firstLine="420"/>
                        <w:jc w:val="center"/>
                        <w:rPr>
                          <w:rFonts w:ascii="仿宋" w:hAnsi="仿宋" w:cs="仿宋"/>
                          <w:sz w:val="21"/>
                          <w:szCs w:val="24"/>
                        </w:rPr>
                      </w:pPr>
                      <w:r>
                        <w:rPr>
                          <w:rFonts w:hint="eastAsia" w:ascii="仿宋" w:hAnsi="仿宋" w:cs="仿宋"/>
                          <w:sz w:val="21"/>
                          <w:szCs w:val="24"/>
                        </w:rPr>
                        <w:t>勤</w:t>
                      </w:r>
                    </w:p>
                    <w:p>
                      <w:pPr>
                        <w:spacing w:line="240" w:lineRule="auto"/>
                        <w:ind w:firstLine="420"/>
                        <w:jc w:val="center"/>
                        <w:rPr>
                          <w:rFonts w:ascii="仿宋" w:hAnsi="仿宋" w:cs="仿宋"/>
                          <w:sz w:val="21"/>
                          <w:szCs w:val="24"/>
                        </w:rPr>
                      </w:pPr>
                      <w:r>
                        <w:rPr>
                          <w:rFonts w:hint="eastAsia" w:ascii="仿宋" w:hAnsi="仿宋" w:cs="仿宋"/>
                          <w:sz w:val="21"/>
                          <w:szCs w:val="24"/>
                        </w:rPr>
                        <w:t>救</w:t>
                      </w:r>
                    </w:p>
                    <w:p>
                      <w:pPr>
                        <w:spacing w:line="240" w:lineRule="auto"/>
                        <w:ind w:firstLine="420"/>
                        <w:jc w:val="center"/>
                        <w:rPr>
                          <w:rFonts w:ascii="仿宋" w:hAnsi="仿宋" w:cs="仿宋"/>
                          <w:sz w:val="21"/>
                          <w:szCs w:val="24"/>
                        </w:rPr>
                      </w:pPr>
                      <w:r>
                        <w:rPr>
                          <w:rFonts w:hint="eastAsia" w:ascii="仿宋" w:hAnsi="仿宋" w:cs="仿宋"/>
                          <w:sz w:val="21"/>
                          <w:szCs w:val="24"/>
                        </w:rPr>
                        <w:t>护</w:t>
                      </w:r>
                    </w:p>
                    <w:p>
                      <w:pPr>
                        <w:spacing w:line="240" w:lineRule="auto"/>
                        <w:ind w:firstLine="420"/>
                        <w:jc w:val="center"/>
                        <w:rPr>
                          <w:rFonts w:ascii="仿宋" w:hAnsi="仿宋" w:cs="仿宋"/>
                          <w:sz w:val="21"/>
                          <w:szCs w:val="21"/>
                        </w:rPr>
                      </w:pPr>
                      <w:r>
                        <w:rPr>
                          <w:rFonts w:hint="eastAsia" w:ascii="仿宋" w:hAnsi="仿宋" w:cs="仿宋"/>
                          <w:sz w:val="21"/>
                          <w:szCs w:val="24"/>
                        </w:rPr>
                        <w:t>组</w:t>
                      </w:r>
                    </w:p>
                  </w:txbxContent>
                </v:textbox>
              </v:rect>
            </w:pict>
          </mc:Fallback>
        </mc:AlternateContent>
      </w:r>
      <w:r>
        <w:rPr>
          <w:rFonts w:cs="Times New Roman"/>
          <w:color w:val="000000" w:themeColor="text1"/>
          <w:szCs w:val="24"/>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3004820</wp:posOffset>
                </wp:positionH>
                <wp:positionV relativeFrom="paragraph">
                  <wp:posOffset>3175</wp:posOffset>
                </wp:positionV>
                <wp:extent cx="486410" cy="1276350"/>
                <wp:effectExtent l="4445" t="5080" r="23495" b="13970"/>
                <wp:wrapNone/>
                <wp:docPr id="19" name="矩形 93"/>
                <wp:cNvGraphicFramePr/>
                <a:graphic xmlns:a="http://schemas.openxmlformats.org/drawingml/2006/main">
                  <a:graphicData uri="http://schemas.microsoft.com/office/word/2010/wordprocessingShape">
                    <wps:wsp>
                      <wps:cNvSpPr/>
                      <wps:spPr>
                        <a:xfrm>
                          <a:off x="0" y="0"/>
                          <a:ext cx="486410" cy="1276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420"/>
                              <w:jc w:val="center"/>
                              <w:rPr>
                                <w:rFonts w:ascii="仿宋" w:hAnsi="仿宋" w:cs="仿宋"/>
                                <w:sz w:val="21"/>
                                <w:szCs w:val="24"/>
                              </w:rPr>
                            </w:pPr>
                            <w:r>
                              <w:rPr>
                                <w:rFonts w:hint="eastAsia" w:ascii="仿宋" w:hAnsi="仿宋" w:cs="仿宋"/>
                                <w:sz w:val="21"/>
                                <w:szCs w:val="24"/>
                              </w:rPr>
                              <w:t>警</w:t>
                            </w:r>
                          </w:p>
                          <w:p>
                            <w:pPr>
                              <w:spacing w:line="240" w:lineRule="auto"/>
                              <w:ind w:firstLine="420"/>
                              <w:jc w:val="center"/>
                              <w:rPr>
                                <w:rFonts w:ascii="仿宋" w:hAnsi="仿宋" w:cs="仿宋"/>
                                <w:sz w:val="21"/>
                                <w:szCs w:val="24"/>
                              </w:rPr>
                            </w:pPr>
                            <w:r>
                              <w:rPr>
                                <w:rFonts w:hint="eastAsia" w:ascii="仿宋" w:hAnsi="仿宋" w:cs="仿宋"/>
                                <w:sz w:val="21"/>
                                <w:szCs w:val="24"/>
                              </w:rPr>
                              <w:t>戒</w:t>
                            </w:r>
                          </w:p>
                          <w:p>
                            <w:pPr>
                              <w:spacing w:line="240" w:lineRule="auto"/>
                              <w:ind w:firstLine="420"/>
                              <w:jc w:val="center"/>
                              <w:rPr>
                                <w:rFonts w:ascii="仿宋" w:hAnsi="仿宋" w:cs="仿宋"/>
                                <w:sz w:val="21"/>
                                <w:szCs w:val="24"/>
                              </w:rPr>
                            </w:pPr>
                            <w:r>
                              <w:rPr>
                                <w:rFonts w:hint="eastAsia" w:ascii="仿宋" w:hAnsi="仿宋" w:cs="仿宋"/>
                                <w:sz w:val="21"/>
                                <w:szCs w:val="24"/>
                              </w:rPr>
                              <w:t>疏</w:t>
                            </w:r>
                          </w:p>
                          <w:p>
                            <w:pPr>
                              <w:spacing w:line="240" w:lineRule="auto"/>
                              <w:ind w:firstLine="420"/>
                              <w:jc w:val="center"/>
                              <w:rPr>
                                <w:rFonts w:ascii="仿宋" w:hAnsi="仿宋" w:cs="仿宋"/>
                                <w:sz w:val="21"/>
                                <w:szCs w:val="24"/>
                              </w:rPr>
                            </w:pPr>
                            <w:r>
                              <w:rPr>
                                <w:rFonts w:hint="eastAsia" w:ascii="仿宋" w:hAnsi="仿宋" w:cs="仿宋"/>
                                <w:sz w:val="21"/>
                                <w:szCs w:val="24"/>
                              </w:rPr>
                              <w:t>散</w:t>
                            </w:r>
                          </w:p>
                          <w:p>
                            <w:pPr>
                              <w:spacing w:line="240" w:lineRule="auto"/>
                              <w:ind w:firstLine="420"/>
                              <w:jc w:val="center"/>
                              <w:rPr>
                                <w:rFonts w:ascii="仿宋" w:hAnsi="仿宋" w:cs="仿宋"/>
                                <w:sz w:val="21"/>
                                <w:szCs w:val="24"/>
                              </w:rPr>
                            </w:pPr>
                            <w:r>
                              <w:rPr>
                                <w:rFonts w:hint="eastAsia" w:ascii="仿宋" w:hAnsi="仿宋" w:cs="仿宋"/>
                                <w:sz w:val="21"/>
                                <w:szCs w:val="24"/>
                              </w:rPr>
                              <w:t>组</w:t>
                            </w:r>
                          </w:p>
                        </w:txbxContent>
                      </wps:txbx>
                      <wps:bodyPr upright="1"/>
                    </wps:wsp>
                  </a:graphicData>
                </a:graphic>
              </wp:anchor>
            </w:drawing>
          </mc:Choice>
          <mc:Fallback>
            <w:pict>
              <v:rect id="矩形 93" o:spid="_x0000_s1026" o:spt="1" style="position:absolute;left:0pt;margin-left:236.6pt;margin-top:0.25pt;height:100.5pt;width:38.3pt;z-index:251681792;mso-width-relative:page;mso-height-relative:page;" fillcolor="#FFFFFF" filled="t" stroked="t" coordsize="21600,21600" o:gfxdata="UEsDBAoAAAAAAIdO4kAAAAAAAAAAAAAAAAAEAAAAZHJzL1BLAwQUAAAACACHTuJAb6Ra89cAAAAI&#10;AQAADwAAAGRycy9kb3ducmV2LnhtbE2PQU+DQBSE7yb+h80z8WZ3oUUtZelBUxOPLb14e8AroOxb&#10;wi4t+utdT/Y4mcnMN9l2Nr040+g6yxqihQJBXNm640bDsdg9PINwHrnG3jJp+CYH2/z2JsO0thfe&#10;0/ngGxFK2KWoofV+SKV0VUsG3cIOxME72dGgD3JsZD3iJZSbXsZKPUqDHYeFFgd6aan6OkxGQ9nF&#10;R/zZF2/KrHdL/z4Xn9PHq9b3d5HagPA0+/8w/OEHdMgDU2knrp3oNayelnGIakhABDtZrcOTUkOs&#10;ogRknsnrA/kvUEsDBBQAAAAIAIdO4kA2PDJ0BgIAACsEAAAOAAAAZHJzL2Uyb0RvYy54bWytU82O&#10;0zAQviPxDpbvNG13W7ZR0z1QygXBSrs8wNRxEkv+k8dt0qdB4sZD8DiI12Dslu4PHHogh2Qcj7/5&#10;vm/Gy9vBaLaXAZWzFZ+MxpxJK1ytbFvxLw+bNzecYQRbg3ZWVvwgkd+uXr9a9r6UU9c5XcvACMRi&#10;2fuKdzH6sihQdNIAjpyXljYbFwxEWoa2qAP0hG50MR2P50XvQu2DExKR/q6Pm/yEGC4BdE2jhFw7&#10;sTPSxiNqkBoiScJOeeSrzLZppIifmwZlZLripDTmNxWheJvexWoJZRvAd0qcKMAlFF5oMqAsFT1D&#10;rSEC2wX1F5RRIjh0TRwJZ4qjkOwIqZiMX3hz34GXWQtZjf5sOv4/WPFpfxeYqmkSFpxZMNTxX1+/&#10;//zxjS2ukju9x5KS7v1dOK2QwiR1aIJJXxLBhuzo4eyoHCIT9PP6Zn49Ia8FbU2mb+dXs2x58Xja&#10;B4wfpDMsBRUP1LFsJOw/YqSKlPonJRVDp1W9UVrnRWi373Rge6DubvKTKNORZ2nasr7ii9l0RkSA&#10;RrahUaHQeJKNts31np3Ap8Dj/PwLOBFbA3ZHAhkhpUFpVJTJLig7CfV7W7N48OSspRvFExkja860&#10;pAuYopwZQelLMkmdtiQyNebYihTFYTsQTAq3rj5QT3c+qLYjSyeZetqhGcrunOY9DenTdQZ9vOO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kWvPXAAAACAEAAA8AAAAAAAAAAQAgAAAAIgAAAGRy&#10;cy9kb3ducmV2LnhtbFBLAQIUABQAAAAIAIdO4kA2PDJ0BgIAACsEAAAOAAAAAAAAAAEAIAAAACYB&#10;AABkcnMvZTJvRG9jLnhtbFBLBQYAAAAABgAGAFkBAACeBQAAAAA=&#10;">
                <v:fill on="t" focussize="0,0"/>
                <v:stroke color="#000000" joinstyle="miter"/>
                <v:imagedata o:title=""/>
                <o:lock v:ext="edit" aspectratio="f"/>
                <v:textbox>
                  <w:txbxContent>
                    <w:p>
                      <w:pPr>
                        <w:spacing w:line="240" w:lineRule="auto"/>
                        <w:ind w:firstLine="420"/>
                        <w:jc w:val="center"/>
                        <w:rPr>
                          <w:rFonts w:ascii="仿宋" w:hAnsi="仿宋" w:cs="仿宋"/>
                          <w:sz w:val="21"/>
                          <w:szCs w:val="24"/>
                        </w:rPr>
                      </w:pPr>
                      <w:r>
                        <w:rPr>
                          <w:rFonts w:hint="eastAsia" w:ascii="仿宋" w:hAnsi="仿宋" w:cs="仿宋"/>
                          <w:sz w:val="21"/>
                          <w:szCs w:val="24"/>
                        </w:rPr>
                        <w:t>警</w:t>
                      </w:r>
                    </w:p>
                    <w:p>
                      <w:pPr>
                        <w:spacing w:line="240" w:lineRule="auto"/>
                        <w:ind w:firstLine="420"/>
                        <w:jc w:val="center"/>
                        <w:rPr>
                          <w:rFonts w:ascii="仿宋" w:hAnsi="仿宋" w:cs="仿宋"/>
                          <w:sz w:val="21"/>
                          <w:szCs w:val="24"/>
                        </w:rPr>
                      </w:pPr>
                      <w:r>
                        <w:rPr>
                          <w:rFonts w:hint="eastAsia" w:ascii="仿宋" w:hAnsi="仿宋" w:cs="仿宋"/>
                          <w:sz w:val="21"/>
                          <w:szCs w:val="24"/>
                        </w:rPr>
                        <w:t>戒</w:t>
                      </w:r>
                    </w:p>
                    <w:p>
                      <w:pPr>
                        <w:spacing w:line="240" w:lineRule="auto"/>
                        <w:ind w:firstLine="420"/>
                        <w:jc w:val="center"/>
                        <w:rPr>
                          <w:rFonts w:ascii="仿宋" w:hAnsi="仿宋" w:cs="仿宋"/>
                          <w:sz w:val="21"/>
                          <w:szCs w:val="24"/>
                        </w:rPr>
                      </w:pPr>
                      <w:r>
                        <w:rPr>
                          <w:rFonts w:hint="eastAsia" w:ascii="仿宋" w:hAnsi="仿宋" w:cs="仿宋"/>
                          <w:sz w:val="21"/>
                          <w:szCs w:val="24"/>
                        </w:rPr>
                        <w:t>疏</w:t>
                      </w:r>
                    </w:p>
                    <w:p>
                      <w:pPr>
                        <w:spacing w:line="240" w:lineRule="auto"/>
                        <w:ind w:firstLine="420"/>
                        <w:jc w:val="center"/>
                        <w:rPr>
                          <w:rFonts w:ascii="仿宋" w:hAnsi="仿宋" w:cs="仿宋"/>
                          <w:sz w:val="21"/>
                          <w:szCs w:val="24"/>
                        </w:rPr>
                      </w:pPr>
                      <w:r>
                        <w:rPr>
                          <w:rFonts w:hint="eastAsia" w:ascii="仿宋" w:hAnsi="仿宋" w:cs="仿宋"/>
                          <w:sz w:val="21"/>
                          <w:szCs w:val="24"/>
                        </w:rPr>
                        <w:t>散</w:t>
                      </w:r>
                    </w:p>
                    <w:p>
                      <w:pPr>
                        <w:spacing w:line="240" w:lineRule="auto"/>
                        <w:ind w:firstLine="420"/>
                        <w:jc w:val="center"/>
                        <w:rPr>
                          <w:rFonts w:ascii="仿宋" w:hAnsi="仿宋" w:cs="仿宋"/>
                          <w:sz w:val="21"/>
                          <w:szCs w:val="24"/>
                        </w:rPr>
                      </w:pPr>
                      <w:r>
                        <w:rPr>
                          <w:rFonts w:hint="eastAsia" w:ascii="仿宋" w:hAnsi="仿宋" w:cs="仿宋"/>
                          <w:sz w:val="21"/>
                          <w:szCs w:val="24"/>
                        </w:rPr>
                        <w:t>组</w:t>
                      </w:r>
                    </w:p>
                  </w:txbxContent>
                </v:textbox>
              </v:rect>
            </w:pict>
          </mc:Fallback>
        </mc:AlternateContent>
      </w:r>
    </w:p>
    <w:p>
      <w:pPr>
        <w:spacing w:line="520" w:lineRule="exact"/>
        <w:ind w:firstLine="560"/>
        <w:rPr>
          <w:rFonts w:cs="Times New Roman"/>
          <w:color w:val="000000" w:themeColor="text1"/>
          <w:szCs w:val="28"/>
          <w14:textFill>
            <w14:solidFill>
              <w14:schemeClr w14:val="tx1"/>
            </w14:solidFill>
          </w14:textFill>
        </w:rPr>
      </w:pPr>
    </w:p>
    <w:p>
      <w:pPr>
        <w:spacing w:line="520" w:lineRule="exact"/>
        <w:ind w:firstLine="560"/>
        <w:jc w:val="center"/>
        <w:rPr>
          <w:rFonts w:cs="Times New Roman"/>
          <w:color w:val="000000" w:themeColor="text1"/>
          <w:szCs w:val="28"/>
          <w14:textFill>
            <w14:solidFill>
              <w14:schemeClr w14:val="tx1"/>
            </w14:solidFill>
          </w14:textFill>
        </w:rPr>
      </w:pPr>
    </w:p>
    <w:p>
      <w:pPr>
        <w:spacing w:line="520" w:lineRule="exact"/>
        <w:ind w:firstLine="560"/>
        <w:rPr>
          <w:rFonts w:cs="Times New Roman"/>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1343025</wp:posOffset>
                </wp:positionH>
                <wp:positionV relativeFrom="paragraph">
                  <wp:posOffset>283210</wp:posOffset>
                </wp:positionV>
                <wp:extent cx="635" cy="400050"/>
                <wp:effectExtent l="7620" t="0" r="10795" b="0"/>
                <wp:wrapNone/>
                <wp:docPr id="80" name="直线 94"/>
                <wp:cNvGraphicFramePr/>
                <a:graphic xmlns:a="http://schemas.openxmlformats.org/drawingml/2006/main">
                  <a:graphicData uri="http://schemas.microsoft.com/office/word/2010/wordprocessingShape">
                    <wps:wsp>
                      <wps:cNvCnPr/>
                      <wps:spPr>
                        <a:xfrm>
                          <a:off x="0" y="0"/>
                          <a:ext cx="635" cy="40005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94" o:spid="_x0000_s1026" o:spt="20" style="position:absolute;left:0pt;margin-left:105.75pt;margin-top:22.3pt;height:31.5pt;width:0.05pt;z-index:251698176;mso-width-relative:page;mso-height-relative:page;" filled="f" stroked="t" coordsize="21600,21600" o:gfxdata="UEsDBAoAAAAAAIdO4kAAAAAAAAAAAAAAAAAEAAAAZHJzL1BLAwQUAAAACACHTuJAsK/lltgAAAAK&#10;AQAADwAAAGRycy9kb3ducmV2LnhtbE2Py2rDMBBF94X8g5hCd43k4NrFtRxCoNBNU5L2AxRrYpta&#10;I2MpD+frO10lu3kc7pwplxfXixOOofOkIZkrEEi1tx01Gn6+359fQYRoyJreE2qYMMCymj2UprD+&#10;TFs87WIjOIRCYTS0MQ6FlKFu0Zkw9wMS7w5+dCZyOzbSjubM4a6XC6Uy6UxHfKE1A65brH93R6dh&#10;u/abfDWkXx+b+HnIr9cJ62bS+ukxUW8gIl7iDYZ/fVaHip32/kg2iF7DIkleGNWQphkIBnjAxZ5J&#10;lWcgq1Lev1D9AVBLAwQUAAAACACHTuJAHqS8oOwBAADfAwAADgAAAGRycy9lMm9Eb2MueG1srVNL&#10;ktMwEN1TxR1U2hM7w2QIrjizmDBsKJgq4AAdSbZVpV+plTg5C9dgxYbjzDVoySEDwyYLvJBbrdbr&#10;fq9bq9uDNWyvImrvWj6f1ZwpJ7zUrm/51y/3r5acYQInwXinWn5UyG/XL1+sxtCoKz94I1VkBOKw&#10;GUPLh5RCU1UoBmUBZz4oR4edjxYSbWNfyQgjoVtTXdX1TTX6KEP0QiGSdzMd8hNivATQd50WauPF&#10;ziqXJtSoDCSihIMOyNel2q5TIn3qOlSJmZYT01RWSkL2Nq/VegVNHyEMWpxKgEtKeMbJgnaU9Ay1&#10;gQRsF/U/UFaL6NF3aSa8rSYiRRFiMa+fafN5gKAKF5Iaw1l0/H+w4uP+ITItW74kSRxY6vjjt++P&#10;P36yt9dZnTFgQ0F37iGedhgeYqZ66KLNfyLBDkXR41lRdUhMkPPm9YIzQf7ruq4XRe7q6WaImN4r&#10;b1k2Wm60y2yhgf0HTJSNQn+HZLdxbKSJXSzfZFCg2euo52TaQPWj68tl9EbLe21MvoKx396ZyPaQ&#10;+1++TIqA/wrLWTaAwxRXjqbJGBTId06ydAwkjKMHwXMNVknOjKL3ky0ChCaBNpdEUmrjqIKs66Rk&#10;trZeHqkPuxB1P5AU81JlPqG+l3pPM5oH6899QXp6l+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K/lltgAAAAKAQAADwAAAAAAAAABACAAAAAiAAAAZHJzL2Rvd25yZXYueG1sUEsBAhQAFAAAAAgA&#10;h07iQB6kvKDsAQAA3wMAAA4AAAAAAAAAAQAgAAAAJwEAAGRycy9lMm9Eb2MueG1sUEsFBgAAAAAG&#10;AAYAWQEAAIUFAAAAAA==&#10;">
                <v:fill on="f" focussize="0,0"/>
                <v:stroke weight="1.25pt" color="#000000" joinstyle="round"/>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3056" behindDoc="0" locked="0" layoutInCell="1" allowOverlap="1">
                <wp:simplePos x="0" y="0"/>
                <wp:positionH relativeFrom="column">
                  <wp:posOffset>1971675</wp:posOffset>
                </wp:positionH>
                <wp:positionV relativeFrom="paragraph">
                  <wp:posOffset>273685</wp:posOffset>
                </wp:positionV>
                <wp:extent cx="9525" cy="389890"/>
                <wp:effectExtent l="45085" t="8255" r="59690" b="1905"/>
                <wp:wrapNone/>
                <wp:docPr id="65" name="直线 95"/>
                <wp:cNvGraphicFramePr/>
                <a:graphic xmlns:a="http://schemas.openxmlformats.org/drawingml/2006/main">
                  <a:graphicData uri="http://schemas.microsoft.com/office/word/2010/wordprocessingShape">
                    <wps:wsp>
                      <wps:cNvCnPr/>
                      <wps:spPr>
                        <a:xfrm>
                          <a:off x="0" y="0"/>
                          <a:ext cx="9525" cy="389890"/>
                        </a:xfrm>
                        <a:prstGeom prst="line">
                          <a:avLst/>
                        </a:prstGeom>
                        <a:ln w="15875" cap="sq" cmpd="sng">
                          <a:solidFill>
                            <a:srgbClr val="000000"/>
                          </a:solidFill>
                          <a:prstDash val="sysDot"/>
                          <a:headEnd type="none" w="med" len="med"/>
                          <a:tailEnd type="arrow" w="med" len="med"/>
                        </a:ln>
                      </wps:spPr>
                      <wps:bodyPr upright="1"/>
                    </wps:wsp>
                  </a:graphicData>
                </a:graphic>
              </wp:anchor>
            </w:drawing>
          </mc:Choice>
          <mc:Fallback>
            <w:pict>
              <v:line id="直线 95" o:spid="_x0000_s1026" o:spt="20" style="position:absolute;left:0pt;margin-left:155.25pt;margin-top:21.55pt;height:30.7pt;width:0.75pt;z-index:251693056;mso-width-relative:page;mso-height-relative:page;" filled="f" stroked="t" coordsize="21600,21600" o:gfxdata="UEsDBAoAAAAAAIdO4kAAAAAAAAAAAAAAAAAEAAAAZHJzL1BLAwQUAAAACACHTuJAv/IM6tkAAAAK&#10;AQAADwAAAGRycy9kb3ducmV2LnhtbE2PwU7DMBBE70j8g7VI3KidpkVViFOhIg4IqETgkpsbb5Oo&#10;8TqK3Sb8PcsJjqt9mnmTb2fXiwuOofOkIVkoEEi1tx01Gr4+n+82IEI0ZE3vCTV8Y4BtcX2Vm8z6&#10;iT7wUsZGcAiFzGhoYxwyKUPdojNh4Qck/h396Ezkc2ykHc3E4a6XS6XupTMdcUNrBty1WJ/Ks+OS&#10;U/dO01O1q17mzbHaP5bx9a3U+vYmUQ8gIs7xD4ZffVaHgp0O/kw2iF5Dmqg1oxpWaQKCgTRZ8rgD&#10;k2q1Blnk8v+E4gdQSwMEFAAAAAgAh07iQBrPS+T0AQAA4AMAAA4AAABkcnMvZTJvRG9jLnhtbK1T&#10;S5LTMBDdU8UdVNoTJ6EyJK44s5gwbChIFcMBOpJsq0o/1Eocn4VrsGLDceYatOyQwMBiFnght9St&#10;1/1et9a3J2vYUUXU3lV8NplyppzwUrum4p8f7l8tOcMEToLxTlW8V8hvNy9frLtQqrlvvZEqMgJx&#10;WHah4m1KoSwKFK2ygBMflCNn7aOFRNvYFDJCR+jWFPPp9KbofJQheqEQ6XQ7OvkZMT4H0Ne1Fmrr&#10;xcEql0bUqAwkooStDsg3Q7V1rUT6WNeoEjMVJ6ZpWCkJ2fu8Fps1lE2E0GpxLgGeU8ITTha0o6QX&#10;qC0kYIeo/4KyWkSPvk4T4W0xEhkUIRaz6RNtPrUQ1MCFpMZwER3/H6z4cNxFpmXFbxacObDU8cev&#10;3x6//2CrRVanC1hS0J3bxfMOwy5mqqc62vwnEuw0KNpfFFWnxAQdrhZzghXkeL1cLVeD3sX1aoiY&#10;3ilvWTYqbrTLdKGE43tMlI5Cf4XkY+NYRyO7WL7JoEDDh1/IsIHKR9cMV9EbLe+1MfkCxmZ/ZyI7&#10;Qm7/8GVOBPtHWM6xBWzHOOxx69M4Ga0C+dZJlvpAwjh6EDyXYJXkzCh6P9kiRCgTaHONhBh99+9Q&#10;Sm4c1ZCFHaXM1t7LnhpxCFE3LUkxG+rMHmr8UPF5SPNk/b4fkK4Pc/M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IM6tkAAAAKAQAADwAAAAAAAAABACAAAAAiAAAAZHJzL2Rvd25yZXYueG1sUEsB&#10;AhQAFAAAAAgAh07iQBrPS+T0AQAA4AMAAA4AAAAAAAAAAQAgAAAAKAEAAGRycy9lMm9Eb2MueG1s&#10;UEsFBgAAAAAGAAYAWQEAAI4FAAAAAA==&#10;">
                <v:fill on="f" focussize="0,0"/>
                <v:stroke weight="1.25pt" color="#000000" joinstyle="round" dashstyle="1 1" endcap="square" endarrow="open"/>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2629535</wp:posOffset>
                </wp:positionH>
                <wp:positionV relativeFrom="paragraph">
                  <wp:posOffset>283210</wp:posOffset>
                </wp:positionV>
                <wp:extent cx="8890" cy="400050"/>
                <wp:effectExtent l="50165" t="8255" r="55245" b="10795"/>
                <wp:wrapNone/>
                <wp:docPr id="66" name="直线 96"/>
                <wp:cNvGraphicFramePr/>
                <a:graphic xmlns:a="http://schemas.openxmlformats.org/drawingml/2006/main">
                  <a:graphicData uri="http://schemas.microsoft.com/office/word/2010/wordprocessingShape">
                    <wps:wsp>
                      <wps:cNvCnPr/>
                      <wps:spPr>
                        <a:xfrm flipH="1">
                          <a:off x="0" y="0"/>
                          <a:ext cx="8890" cy="400050"/>
                        </a:xfrm>
                        <a:prstGeom prst="line">
                          <a:avLst/>
                        </a:prstGeom>
                        <a:ln w="15875" cap="sq" cmpd="sng">
                          <a:solidFill>
                            <a:srgbClr val="000000"/>
                          </a:solidFill>
                          <a:prstDash val="sysDot"/>
                          <a:headEnd type="none" w="med" len="med"/>
                          <a:tailEnd type="arrow" w="med" len="med"/>
                        </a:ln>
                      </wps:spPr>
                      <wps:bodyPr upright="1"/>
                    </wps:wsp>
                  </a:graphicData>
                </a:graphic>
              </wp:anchor>
            </w:drawing>
          </mc:Choice>
          <mc:Fallback>
            <w:pict>
              <v:line id="直线 96" o:spid="_x0000_s1026" o:spt="20" style="position:absolute;left:0pt;flip:x;margin-left:207.05pt;margin-top:22.3pt;height:31.5pt;width:0.7pt;z-index:251694080;mso-width-relative:page;mso-height-relative:page;" filled="f" stroked="t" coordsize="21600,21600" o:gfxdata="UEsDBAoAAAAAAIdO4kAAAAAAAAAAAAAAAAAEAAAAZHJzL1BLAwQUAAAACACHTuJASgsToNoAAAAK&#10;AQAADwAAAGRycy9kb3ducmV2LnhtbE2Py07DMBBF90j8gzVI7KjtKg1tiNNFUSXEBlooUnfT2E0C&#10;fkSx05a/Z1jBbkZzdOfccnlxlp3MELvgFciJAGZ8HXTnGwXvb+u7ObCY0Gu0wRsF3ybCsrq+KrHQ&#10;4ew35rRNDaMQHwtU0KbUF5zHujUO4yT0xtPtGAaHidah4XrAM4U7y6dC5Nxh5+lDi71Ztab+2o5O&#10;wX73uHiefjwt5Pp1xM/96phG+6LU7Y0UD8CSuaQ/GH71SR0qcjqE0evIrIJMZpJQGrIcGAGZnM2A&#10;HYgU9znwquT/K1Q/UEsDBBQAAAAIAIdO4kC9jcMd/QEAAOoDAAAOAAAAZHJzL2Uyb0RvYy54bWyt&#10;U0uS0zAQ3VPFHVTaEztTJGRccWYxYWBBQaqAA3Rk2VaVfqiVOD4L12DFhuPMNWjJIQMDi1nghaql&#10;fnrd77m1vjkZzY4yoHK25vNZyZm0wjXKdjX//OnuxYozjGAb0M7Kmo8S+c3m+bP14Ct55XqnGxkY&#10;kVisBl/zPkZfFQWKXhrAmfPSUrJ1wUCkbeiKJsBA7EYXV2W5LAYXGh+ckIh0up2S/MwYnkLo2lYJ&#10;uXXiYKSNE2uQGiJJwl555JvcbdtKET+0LcrIdM1JacwrFaF4n9Zis4aqC+B7Jc4twFNaeKTJgLJU&#10;9EK1hQjsENRfVEaJ4NC1cSacKSYh2RFSMS8fefOxBy+zFrIa/cV0/H+04v1xF5hqar5ccmbB0B+/&#10;//rt/vsPdr1M7gweKwLd2l0479DvQpJ6aoNhrVb+LY1RFk9y2Cl7O168lafIBB2uVtfkuaDEy7Is&#10;F9n5YiJJZD5gfCOdYSmouVY2CYcKju8wUmGC/oKkY23ZQFUXq1cLIgUaQ/xCgfEkBG2Xr6LTqrlT&#10;WqcLGLr9rQ7sCGkQ8pfUEe0fsFRjC9hPOBxx6+I0I72E5rVtWBw9WWTpafDUgpENZ1rSS0oRMUIV&#10;QekHJITghn9Dqbi21EOyeDI1RXvXjPRLDj6oricr5rnPlKERyB2fxzXN2O/7zPTwRD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oLE6DaAAAACgEAAA8AAAAAAAAAAQAgAAAAIgAAAGRycy9kb3du&#10;cmV2LnhtbFBLAQIUABQAAAAIAIdO4kC9jcMd/QEAAOoDAAAOAAAAAAAAAAEAIAAAACkBAABkcnMv&#10;ZTJvRG9jLnhtbFBLBQYAAAAABgAGAFkBAACYBQAAAAA=&#10;">
                <v:fill on="f" focussize="0,0"/>
                <v:stroke weight="1.25pt" color="#000000" joinstyle="round" dashstyle="1 1" endcap="square" endarrow="open"/>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3963035</wp:posOffset>
                </wp:positionH>
                <wp:positionV relativeFrom="paragraph">
                  <wp:posOffset>302260</wp:posOffset>
                </wp:positionV>
                <wp:extent cx="8890" cy="381000"/>
                <wp:effectExtent l="50165" t="8255" r="55245" b="10795"/>
                <wp:wrapNone/>
                <wp:docPr id="78" name="直线 97"/>
                <wp:cNvGraphicFramePr/>
                <a:graphic xmlns:a="http://schemas.openxmlformats.org/drawingml/2006/main">
                  <a:graphicData uri="http://schemas.microsoft.com/office/word/2010/wordprocessingShape">
                    <wps:wsp>
                      <wps:cNvCnPr/>
                      <wps:spPr>
                        <a:xfrm flipH="1">
                          <a:off x="0" y="0"/>
                          <a:ext cx="8890" cy="381000"/>
                        </a:xfrm>
                        <a:prstGeom prst="line">
                          <a:avLst/>
                        </a:prstGeom>
                        <a:ln w="15875" cap="sq" cmpd="sng">
                          <a:solidFill>
                            <a:srgbClr val="000000"/>
                          </a:solidFill>
                          <a:prstDash val="sysDot"/>
                          <a:headEnd type="none" w="med" len="med"/>
                          <a:tailEnd type="arrow" w="med" len="med"/>
                        </a:ln>
                      </wps:spPr>
                      <wps:bodyPr upright="1"/>
                    </wps:wsp>
                  </a:graphicData>
                </a:graphic>
              </wp:anchor>
            </w:drawing>
          </mc:Choice>
          <mc:Fallback>
            <w:pict>
              <v:line id="直线 97" o:spid="_x0000_s1026" o:spt="20" style="position:absolute;left:0pt;flip:x;margin-left:312.05pt;margin-top:23.8pt;height:30pt;width:0.7pt;z-index:251696128;mso-width-relative:page;mso-height-relative:page;" filled="f" stroked="t" coordsize="21600,21600" o:gfxdata="UEsDBAoAAAAAAIdO4kAAAAAAAAAAAAAAAAAEAAAAZHJzL1BLAwQUAAAACACHTuJAgDt9dNoAAAAK&#10;AQAADwAAAGRycy9kb3ducmV2LnhtbE2PTU/CQBCG7yb+h82YeJPdNlChdssBQ2K8KCgm3IZ2aKv7&#10;0XS3gP/e8aTHmXnyzvMWy4s14kRD6LzTkEwUCHKVrzvXaHh/W9/NQYSIrkbjHWn4pgDL8vqqwLz2&#10;Z7eh0zY2gkNcyFFDG2OfSxmqliyGie/J8e3oB4uRx6GR9YBnDrdGpkpl0mLn+EOLPa1aqr62o9Ww&#10;3z0untOPp0Wyfh3xc786xtG8aH17k6gHEJEu8Q+GX31Wh5KdDn50dRBGQ5ZOE0Y1TO8zEAxk6WwG&#10;4sCk4o0sC/m/QvkDUEsDBBQAAAAIAIdO4kA4l4kK/QEAAOoDAAAOAAAAZHJzL2Uyb0RvYy54bWyt&#10;U0uOEzEQ3SNxB8t70p1BQzKtdGYxYWCBYCTgABXb3W3JP1xOOjkL12DFhuPMNSi7QwYGFrOgF62y&#10;6/lVvefy6vpgDduriNq7ls9nNWfKCS+161v++dPtiyVnmMBJMN6plh8V8uv182erMTTqwg/eSBUZ&#10;kThsxtDyIaXQVBWKQVnAmQ/KUbLz0UKiZewrGWEkdmuqi7p+VY0+yhC9UIi0u5mS/MQYn0Lou04L&#10;tfFiZ5VLE2tUBhJJwkEH5OvSbdcpkT50HarETMtJaSp/KkLxNv+r9QqaPkIYtDi1AE9p4ZEmC9pR&#10;0TPVBhKwXdR/UVktokffpZnwtpqEFEdIxbx+5M3HAYIqWshqDGfT8f/Rivf7u8i0bPmC7t2BpRu/&#10;//rt/vsPdrXI7owBGwLduLt4WmG4i1nqoYuWdUaHtzRGRTzJYYfi7fHsrTokJmhzubwizwUlXi7n&#10;dV2cryaSTBYipjfKW5aDlhvtsnBoYP8OExUm6C9I3jaOjVT1crm4JFKgMcQvFNhAQtD15Sh6o+Wt&#10;NiYfwNhvb0xke8iDUL6sjmj/gOUaG8BhwuERNz5NMzIokK+dZOkYyCJHT4PnFqySnBlFLylHxAhN&#10;Am0ekBCjH/8NpeLGUQ/Z4snUHG29PNKV7ELU/UBWzEufOUMjUDo+jWuesd/Xhenhi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A7fXTaAAAACgEAAA8AAAAAAAAAAQAgAAAAIgAAAGRycy9kb3du&#10;cmV2LnhtbFBLAQIUABQAAAAIAIdO4kA4l4kK/QEAAOoDAAAOAAAAAAAAAAEAIAAAACkBAABkcnMv&#10;ZTJvRG9jLnhtbFBLBQYAAAAABgAGAFkBAACYBQAAAAA=&#10;">
                <v:fill on="f" focussize="0,0"/>
                <v:stroke weight="1.25pt" color="#000000" joinstyle="round" dashstyle="1 1" endcap="square" endarrow="open"/>
                <v:imagedata o:title=""/>
                <o:lock v:ext="edit" aspectratio="f"/>
              </v:line>
            </w:pict>
          </mc:Fallback>
        </mc:AlternateContent>
      </w: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3257550</wp:posOffset>
                </wp:positionH>
                <wp:positionV relativeFrom="paragraph">
                  <wp:posOffset>302260</wp:posOffset>
                </wp:positionV>
                <wp:extent cx="635" cy="389890"/>
                <wp:effectExtent l="52070" t="8255" r="61595" b="1905"/>
                <wp:wrapNone/>
                <wp:docPr id="67" name="直线 98"/>
                <wp:cNvGraphicFramePr/>
                <a:graphic xmlns:a="http://schemas.openxmlformats.org/drawingml/2006/main">
                  <a:graphicData uri="http://schemas.microsoft.com/office/word/2010/wordprocessingShape">
                    <wps:wsp>
                      <wps:cNvCnPr/>
                      <wps:spPr>
                        <a:xfrm>
                          <a:off x="0" y="0"/>
                          <a:ext cx="635" cy="389890"/>
                        </a:xfrm>
                        <a:prstGeom prst="line">
                          <a:avLst/>
                        </a:prstGeom>
                        <a:ln w="15875" cap="sq" cmpd="sng">
                          <a:solidFill>
                            <a:srgbClr val="000000"/>
                          </a:solidFill>
                          <a:prstDash val="sysDot"/>
                          <a:headEnd type="none" w="med" len="med"/>
                          <a:tailEnd type="arrow" w="med" len="med"/>
                        </a:ln>
                      </wps:spPr>
                      <wps:bodyPr upright="1"/>
                    </wps:wsp>
                  </a:graphicData>
                </a:graphic>
              </wp:anchor>
            </w:drawing>
          </mc:Choice>
          <mc:Fallback>
            <w:pict>
              <v:line id="直线 98" o:spid="_x0000_s1026" o:spt="20" style="position:absolute;left:0pt;margin-left:256.5pt;margin-top:23.8pt;height:30.7pt;width:0.05pt;z-index:251695104;mso-width-relative:page;mso-height-relative:page;" filled="f" stroked="t" coordsize="21600,21600" o:gfxdata="UEsDBAoAAAAAAIdO4kAAAAAAAAAAAAAAAAAEAAAAZHJzL1BLAwQUAAAACACHTuJAIf4UBNkAAAAK&#10;AQAADwAAAGRycy9kb3ducmV2LnhtbE2PPU/DMBCGdyT+g3VIbNROgVJCnKoqYkDQSgSWbG58TaLG&#10;5yh2m/DvOSYY771H70e2mlwnzjiE1pOGZKZAIFXetlRr+Pp8uVmCCNGQNZ0n1PCNAVb55UVmUutH&#10;+sBzEWvBJhRSo6GJsU+lDFWDzoSZ75H4d/CDM5HPoZZ2MCObu07OlVpIZ1rihMb0uGmwOhYnxyHH&#10;dkvjc7kpX6flodyti/j2Xmh9fZWoJxARp/gHw299rg45d9r7E9kgOg33yS1viRruHhYgGGAhAbFn&#10;Uj0qkHkm/0/IfwBQSwMEFAAAAAgAh07iQPsJILX1AQAA3wMAAA4AAABkcnMvZTJvRG9jLnhtbK1T&#10;zXLTMBC+M8M7aHQnTtppmnji9FBTLgxkhvIAG1m2NaM/tEqcPAuvwYkLj9PXYCWHBAqHHvBBXq1W&#10;3+737Wp1dzCa7WVA5WzFZ5MpZ9IK1yjbVfzz48ObBWcYwTagnZUVP0rkd+vXr1aDL+WV651uZGAE&#10;YrEcfMX7GH1ZFCh6aQAnzktLh60LBiJtQ1c0AQZCN7q4mk7nxeBC44MTEpG89XjIT4jhJYCubZWQ&#10;tRM7I20cUYPUEIkS9sojX+dq21aK+LFtUUamK05MY14pCdnbtBbrFZRdAN8rcSoBXlLCM04GlKWk&#10;Z6gaIrBdUH9BGSWCQ9fGiXCmGIlkRYjFbPpMm089eJm5kNToz6Lj/4MVH/abwFRT8fktZxYMdfzp&#10;67en7z/YcpHUGTyWFHRvN+G0Q78JieqhDSb9iQQ7ZEWPZ0XlITJBzvn1DWeC/NeL5WKZ5S4uN33A&#10;+E46w5JRca1sYgsl7N9jpGwU+iskubVlA03szeI2gQLNHn4hw3iqHm2Xr6LTqnlQWqcLGLrtvQ5s&#10;D6n7+UuUCPaPsJSjBuzHODxi7eI4GL2E5q1tWDx60sXSe+CpBCMbzrSk55MsQoQygtKXSAjBDf8O&#10;peTaUg1J11HJZG1dc6Q+7HxQXU9SzHKd6YT6nis+zWgarN/3GenyLt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H+FATZAAAACgEAAA8AAAAAAAAAAQAgAAAAIgAAAGRycy9kb3ducmV2LnhtbFBL&#10;AQIUABQAAAAIAIdO4kD7CSC19QEAAN8DAAAOAAAAAAAAAAEAIAAAACgBAABkcnMvZTJvRG9jLnht&#10;bFBLBQYAAAAABgAGAFkBAACPBQAAAAA=&#10;">
                <v:fill on="f" focussize="0,0"/>
                <v:stroke weight="1.25pt" color="#000000" joinstyle="round" dashstyle="1 1" endcap="square" endarrow="open"/>
                <v:imagedata o:title=""/>
                <o:lock v:ext="edit" aspectratio="f"/>
              </v:line>
            </w:pict>
          </mc:Fallback>
        </mc:AlternateContent>
      </w:r>
    </w:p>
    <w:p>
      <w:pPr>
        <w:spacing w:before="190" w:beforeLines="50" w:line="520" w:lineRule="exact"/>
        <w:ind w:firstLine="560"/>
        <w:jc w:val="center"/>
        <w:rPr>
          <w:rFonts w:cs="Times New Roman"/>
          <w:b/>
          <w:bCs/>
          <w:color w:val="000000" w:themeColor="text1"/>
          <w:szCs w:val="28"/>
          <w14:textFill>
            <w14:solidFill>
              <w14:schemeClr w14:val="tx1"/>
            </w14:solidFill>
          </w14:textFill>
        </w:rPr>
      </w:pPr>
      <w:r>
        <w:rPr>
          <w:rFonts w:eastAsia="宋体" w:cs="Times New Roman"/>
          <w:color w:val="000000" w:themeColor="text1"/>
          <w:szCs w:val="24"/>
          <w14:textFill>
            <w14:solidFill>
              <w14:schemeClr w14:val="tx1"/>
            </w14:solidFill>
          </w14:textFill>
        </w:rPr>
        <mc:AlternateContent>
          <mc:Choice Requires="wps">
            <w:drawing>
              <wp:anchor distT="0" distB="0" distL="114300" distR="114300" simplePos="0" relativeHeight="251697152" behindDoc="0" locked="0" layoutInCell="1" allowOverlap="1">
                <wp:simplePos x="0" y="0"/>
                <wp:positionH relativeFrom="column">
                  <wp:posOffset>1333500</wp:posOffset>
                </wp:positionH>
                <wp:positionV relativeFrom="paragraph">
                  <wp:posOffset>343535</wp:posOffset>
                </wp:positionV>
                <wp:extent cx="3362960" cy="635"/>
                <wp:effectExtent l="0" t="0" r="0" b="0"/>
                <wp:wrapNone/>
                <wp:docPr id="79" name="直线 99"/>
                <wp:cNvGraphicFramePr/>
                <a:graphic xmlns:a="http://schemas.openxmlformats.org/drawingml/2006/main">
                  <a:graphicData uri="http://schemas.microsoft.com/office/word/2010/wordprocessingShape">
                    <wps:wsp>
                      <wps:cNvCnPr/>
                      <wps:spPr>
                        <a:xfrm>
                          <a:off x="0" y="0"/>
                          <a:ext cx="336296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99" o:spid="_x0000_s1026" o:spt="20" style="position:absolute;left:0pt;margin-left:105pt;margin-top:27.05pt;height:0.05pt;width:264.8pt;z-index:251697152;mso-width-relative:page;mso-height-relative:page;" filled="f" stroked="t" coordsize="21600,21600" o:gfxdata="UEsDBAoAAAAAAIdO4kAAAAAAAAAAAAAAAAAEAAAAZHJzL1BLAwQUAAAACACHTuJA5Q81ntkAAAAJ&#10;AQAADwAAAGRycy9kb3ducmV2LnhtbE2PzU7DMBCE70i8g7VI3KidUBqaxqlQJSQuFLXwAG68TSLi&#10;dRRvf9Knxz3R4+yMZr8plmfXiSMOofWkIZkoEEiVty3VGn6+359eQQQ2ZE3nCTWMGGBZ3t8VJrf+&#10;RBs8brkWsYRCbjQ0zH0uZagadCZMfI8Uvb0fnOEoh1rawZxiuetkqtRMOtNS/NCYHlcNVr/bg9Ow&#10;Wfl19tZPvz7W/LnPLpcRq3rU+vEhUQsQjGf+D8MVP6JDGZl2/kA2iE5Dmqi4hTW8TBMQMZA9z2cg&#10;dtdDCrIs5O2C8g9QSwMEFAAAAAgAh07iQCqdkrvsAQAA4AMAAA4AAABkcnMvZTJvRG9jLnhtbK1T&#10;S27bMBDdF+gdCO5r+QM7sWA5i7jppmgNND3AmKIkAvyBQ1v2WXqNrrrpcXKNDinXaZONF9GCGnIe&#10;H+c9Dld3R6PZQQZUzlZ8MhpzJq1wtbJtxb8/Pny45Qwj2Bq0s7LiJ4n8bv3+3ar3pZy6zulaBkYk&#10;FsveV7yL0ZdFgaKTBnDkvLSUbFwwEGka2qIO0BO70cV0PF4UvQu1D05IRFrdDEl+ZgzXELqmUUJu&#10;nNgbaePAGqSGSJKwUx75OlfbNFLEr02DMjJdcVIa80iHULxLY7FeQdkG8J0S5xLgmhJeaDKgLB16&#10;odpABLYP6hWVUSI4dE0cCWeKQUh2hFRMxi+8+daBl1kLWY3+Yjq+Ha34ctgGpuqK3yw5s2Doxp9+&#10;/Hz69Zstl8md3mNJoHu7DecZ+m1IUo9NMOlPItgxO3q6OCqPkQlanM0W0+WCzBaUW8zmibF43uoD&#10;xk/SGZaCimtlk1wo4fAZ4wD9C0nL2rKeWnZ+ezMnRqDma+jSKTSeBKBt82Z0WtUPSuu0BUO7u9eB&#10;HSA1QP7ONfwHS6dsALsBl1MJBmUnof5oaxZPnpyx9CJ4qsHImjMt6QGlKCMjKH0NkuRrSy4kYwcr&#10;U7Rz9YkuYu+DajuyYpKrTBm6+OzZuUlTZ/07z0zPD3P9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UPNZ7ZAAAACQEAAA8AAAAAAAAAAQAgAAAAIgAAAGRycy9kb3ducmV2LnhtbFBLAQIUABQAAAAI&#10;AIdO4kAqnZK77AEAAOADAAAOAAAAAAAAAAEAIAAAACgBAABkcnMvZTJvRG9jLnhtbFBLBQYAAAAA&#10;BgAGAFkBAACGBQAAAAA=&#10;">
                <v:fill on="f" focussize="0,0"/>
                <v:stroke weight="1.25pt" color="#000000" joinstyle="round"/>
                <v:imagedata o:title=""/>
                <o:lock v:ext="edit" aspectratio="f"/>
              </v:line>
            </w:pict>
          </mc:Fallback>
        </mc:AlternateContent>
      </w:r>
    </w:p>
    <w:p>
      <w:pPr>
        <w:ind w:firstLine="0" w:firstLineChars="0"/>
        <w:jc w:val="center"/>
        <w:rPr>
          <w:rFonts w:cs="Times New Roman"/>
          <w:color w:val="000000" w:themeColor="text1"/>
          <w14:textFill>
            <w14:solidFill>
              <w14:schemeClr w14:val="tx1"/>
            </w14:solidFill>
          </w14:textFill>
        </w:rPr>
      </w:pPr>
      <w:r>
        <w:rPr>
          <w:rFonts w:cs="Times New Roman"/>
          <w:b/>
          <w:bCs/>
          <w:color w:val="000000" w:themeColor="text1"/>
          <w:sz w:val="24"/>
          <w:szCs w:val="18"/>
          <w14:textFill>
            <w14:solidFill>
              <w14:schemeClr w14:val="tx1"/>
            </w14:solidFill>
          </w14:textFill>
        </w:rPr>
        <w:t>图4.1-1 应急组织机构图</w:t>
      </w:r>
    </w:p>
    <w:p>
      <w:pPr>
        <w:pStyle w:val="18"/>
        <w:rPr>
          <w:color w:val="000000" w:themeColor="text1"/>
          <w14:textFill>
            <w14:solidFill>
              <w14:schemeClr w14:val="tx1"/>
            </w14:solidFill>
          </w14:textFill>
        </w:rPr>
      </w:pPr>
      <w:bookmarkStart w:id="64" w:name="_Toc43143184"/>
      <w:bookmarkStart w:id="65" w:name="_Toc21804"/>
      <w:r>
        <w:rPr>
          <w:color w:val="000000" w:themeColor="text1"/>
          <w14:textFill>
            <w14:solidFill>
              <w14:schemeClr w14:val="tx1"/>
            </w14:solidFill>
          </w14:textFill>
        </w:rPr>
        <w:t>4.2应急组织人员及其职责</w:t>
      </w:r>
      <w:bookmarkEnd w:id="64"/>
      <w:bookmarkEnd w:id="65"/>
    </w:p>
    <w:p>
      <w:pPr>
        <w:pStyle w:val="16"/>
        <w:rPr>
          <w:color w:val="000000" w:themeColor="text1"/>
          <w14:textFill>
            <w14:solidFill>
              <w14:schemeClr w14:val="tx1"/>
            </w14:solidFill>
          </w14:textFill>
        </w:rPr>
      </w:pPr>
      <w:bookmarkStart w:id="66" w:name="_Toc8215"/>
      <w:bookmarkStart w:id="67" w:name="_Toc43143185"/>
      <w:r>
        <w:rPr>
          <w:color w:val="000000" w:themeColor="text1"/>
          <w14:textFill>
            <w14:solidFill>
              <w14:schemeClr w14:val="tx1"/>
            </w14:solidFill>
          </w14:textFill>
        </w:rPr>
        <w:t>4.2.1应急救援指挥中心</w:t>
      </w:r>
      <w:bookmarkEnd w:id="66"/>
      <w:bookmarkEnd w:id="67"/>
    </w:p>
    <w:p>
      <w:pPr>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总指挥：</w:t>
      </w:r>
      <w:r>
        <w:rPr>
          <w:rFonts w:hint="eastAsia" w:cs="Times New Roman"/>
          <w:color w:val="000000" w:themeColor="text1"/>
          <w14:textFill>
            <w14:solidFill>
              <w14:schemeClr w14:val="tx1"/>
            </w14:solidFill>
          </w14:textFill>
        </w:rPr>
        <w:t>张剑锋</w:t>
      </w:r>
      <w:r>
        <w:rPr>
          <w:rFonts w:cs="Times New Roman"/>
          <w:color w:val="000000" w:themeColor="text1"/>
          <w14:textFill>
            <w14:solidFill>
              <w14:schemeClr w14:val="tx1"/>
            </w14:solidFill>
          </w14:textFill>
        </w:rPr>
        <w:t>（总经理）</w:t>
      </w:r>
    </w:p>
    <w:p>
      <w:pPr>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副总指挥：</w:t>
      </w:r>
      <w:r>
        <w:rPr>
          <w:rFonts w:hint="eastAsia" w:cs="Times New Roman"/>
          <w:color w:val="000000" w:themeColor="text1"/>
          <w14:textFill>
            <w14:solidFill>
              <w14:schemeClr w14:val="tx1"/>
            </w14:solidFill>
          </w14:textFill>
        </w:rPr>
        <w:t>付建明</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厂长</w:t>
      </w:r>
      <w:r>
        <w:rPr>
          <w:rFonts w:cs="Times New Roman"/>
          <w:color w:val="000000" w:themeColor="text1"/>
          <w14:textFill>
            <w14:solidFill>
              <w14:schemeClr w14:val="tx1"/>
            </w14:solidFill>
          </w14:textFill>
        </w:rPr>
        <w:t>）</w:t>
      </w:r>
    </w:p>
    <w:p>
      <w:pPr>
        <w:ind w:firstLine="1960" w:firstLineChars="7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董建云</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办公室主任</w:t>
      </w:r>
      <w:r>
        <w:rPr>
          <w:rFonts w:cs="Times New Roman"/>
          <w:color w:val="000000" w:themeColor="text1"/>
          <w14:textFill>
            <w14:solidFill>
              <w14:schemeClr w14:val="tx1"/>
            </w14:solidFill>
          </w14:textFill>
        </w:rPr>
        <w:t>）</w:t>
      </w:r>
    </w:p>
    <w:p>
      <w:pPr>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成员：</w:t>
      </w:r>
      <w:r>
        <w:rPr>
          <w:rFonts w:hint="eastAsia" w:cs="Times New Roman"/>
          <w:color w:val="000000" w:themeColor="text1"/>
          <w14:textFill>
            <w14:solidFill>
              <w14:schemeClr w14:val="tx1"/>
            </w14:solidFill>
          </w14:textFill>
        </w:rPr>
        <w:t>马建华</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组长</w:t>
      </w:r>
      <w:r>
        <w:rPr>
          <w:rFonts w:cs="Times New Roman"/>
          <w:color w:val="000000" w:themeColor="text1"/>
          <w14:textFill>
            <w14:solidFill>
              <w14:schemeClr w14:val="tx1"/>
            </w14:solidFill>
          </w14:textFill>
        </w:rPr>
        <w:t>）</w:t>
      </w:r>
    </w:p>
    <w:p>
      <w:pPr>
        <w:ind w:firstLine="1960" w:firstLineChars="7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李兴明</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组长</w:t>
      </w:r>
      <w:r>
        <w:rPr>
          <w:rFonts w:cs="Times New Roman"/>
          <w:color w:val="000000" w:themeColor="text1"/>
          <w14:textFill>
            <w14:solidFill>
              <w14:schemeClr w14:val="tx1"/>
            </w14:solidFill>
          </w14:textFill>
        </w:rPr>
        <w:t>）</w:t>
      </w:r>
    </w:p>
    <w:p>
      <w:pPr>
        <w:ind w:firstLine="1960" w:firstLineChars="7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陈华</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职员</w:t>
      </w:r>
      <w:r>
        <w:rPr>
          <w:rFonts w:cs="Times New Roman"/>
          <w:color w:val="000000" w:themeColor="text1"/>
          <w14:textFill>
            <w14:solidFill>
              <w14:schemeClr w14:val="tx1"/>
            </w14:solidFill>
          </w14:textFill>
        </w:rPr>
        <w:t>）</w:t>
      </w:r>
    </w:p>
    <w:p>
      <w:pPr>
        <w:ind w:firstLine="1960" w:firstLineChars="7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岩光</w:t>
      </w:r>
      <w:r>
        <w:rPr>
          <w:rFonts w:cs="Times New Roman"/>
          <w:color w:val="000000" w:themeColor="text1"/>
          <w14:textFill>
            <w14:solidFill>
              <w14:schemeClr w14:val="tx1"/>
            </w14:solidFill>
          </w14:textFill>
        </w:rPr>
        <w:t>（</w:t>
      </w:r>
      <w:r>
        <w:rPr>
          <w:rFonts w:hint="eastAsia" w:cs="Times New Roman"/>
          <w:color w:val="000000" w:themeColor="text1"/>
          <w:szCs w:val="22"/>
          <w14:textFill>
            <w14:solidFill>
              <w14:schemeClr w14:val="tx1"/>
            </w14:solidFill>
          </w14:textFill>
        </w:rPr>
        <w:t>职员</w:t>
      </w:r>
      <w:r>
        <w:rPr>
          <w:rFonts w:cs="Times New Roman"/>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应急指挥部负责宣布应急状态的启动和解除，全面指挥调动应急组织，调配应急资源，按应急程序组织实施应急抢险。指挥部具体职责如下所述：</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 = 1 \* GB3 </w:instrText>
      </w:r>
      <w:r>
        <w:rPr>
          <w:rFonts w:hint="eastAsia"/>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①</w:t>
      </w:r>
      <w:r>
        <w:rPr>
          <w:rFonts w:hint="eastAsia"/>
          <w:color w:val="000000" w:themeColor="text1"/>
          <w14:textFill>
            <w14:solidFill>
              <w14:schemeClr w14:val="tx1"/>
            </w14:solidFill>
          </w14:textFill>
        </w:rPr>
        <w:fldChar w:fldCharType="end"/>
      </w:r>
      <w:r>
        <w:rPr>
          <w:color w:val="000000" w:themeColor="text1"/>
          <w14:textFill>
            <w14:solidFill>
              <w14:schemeClr w14:val="tx1"/>
            </w14:solidFill>
          </w14:textFill>
        </w:rPr>
        <w:t>应急指挥部职责</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遵照国家相关应急救援工作的法规和政策，组织制订突发环境事件应急预案；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负责人员、资源配置、应急队伍的调动，检查、督促做好突发环境事件的预防措施和应急救援的各项准备工作；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确定现场指挥人员并对突发事件现场救援行动进行指挥，保证应急救援工作的正常进行；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协调事故现场应急工作；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批准本预案的启动与终止；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确定事故状态下各级人员的职责；</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事故信息的上报、通报工作；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接受政府的指令和调动；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有计划地组织实施突发环境事件应急救援的培训，根据应急预案进行演练，向周边企业、敏感点提供本单位有关主要生产危险物资特性、救援知识等宣传材料。</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 = 2 \* GB3 </w:instrText>
      </w:r>
      <w:r>
        <w:rPr>
          <w:rFonts w:hint="eastAsia"/>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②</w:t>
      </w:r>
      <w:r>
        <w:rPr>
          <w:rFonts w:hint="eastAsia"/>
          <w:color w:val="000000" w:themeColor="text1"/>
          <w14:textFill>
            <w14:solidFill>
              <w14:schemeClr w14:val="tx1"/>
            </w14:solidFill>
          </w14:textFill>
        </w:rPr>
        <w:fldChar w:fldCharType="end"/>
      </w:r>
      <w:r>
        <w:rPr>
          <w:color w:val="000000" w:themeColor="text1"/>
          <w14:textFill>
            <w14:solidFill>
              <w14:schemeClr w14:val="tx1"/>
            </w14:solidFill>
          </w14:textFill>
        </w:rPr>
        <w:t>总指挥职责</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贯彻执行国家、当地政府、上级有关部门关于环境安全的方针、政策及规定，组织制定、修改公司突发环境事件应急预案；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组建突发环境事件应急救援队伍；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根据事件的发展，确定现场指挥人员，推动</w:t>
      </w:r>
      <w:r>
        <w:rPr>
          <w:rFonts w:hint="eastAsia"/>
          <w:color w:val="000000" w:themeColor="text1"/>
          <w14:textFill>
            <w14:solidFill>
              <w14:schemeClr w14:val="tx1"/>
            </w14:solidFill>
          </w14:textFill>
        </w:rPr>
        <w:t>应急</w:t>
      </w:r>
      <w:r>
        <w:rPr>
          <w:color w:val="000000" w:themeColor="text1"/>
          <w14:textFill>
            <w14:solidFill>
              <w14:schemeClr w14:val="tx1"/>
            </w14:solidFill>
          </w14:textFill>
        </w:rPr>
        <w:t>机构工作的发挥；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视事件状况和可能演化的趋势，判定是否需要外部救援或资源，接受上级应急救援指挥机构的指令和调动，协助事件的处理；</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批准本预案的启动与终止；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事故应急救援结束后，配合政府主管部门组织调查分析事故原因，并组织编写事故调查处理报告，组织内部和对政府的报告，配合有关部门对环境进行修复、事件调查、经验教训总结；</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负责组织公司内部各级预案的审批与更新；</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负责组织公司内部各级预案的外部评审。</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 = 3 \* GB3 </w:instrText>
      </w:r>
      <w:r>
        <w:rPr>
          <w:rFonts w:hint="eastAsia"/>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③</w:t>
      </w:r>
      <w:r>
        <w:rPr>
          <w:rFonts w:hint="eastAsia"/>
          <w:color w:val="000000" w:themeColor="text1"/>
          <w14:textFill>
            <w14:solidFill>
              <w14:schemeClr w14:val="tx1"/>
            </w14:solidFill>
          </w14:textFill>
        </w:rPr>
        <w:fldChar w:fldCharType="end"/>
      </w:r>
      <w:r>
        <w:rPr>
          <w:color w:val="000000" w:themeColor="text1"/>
          <w14:textFill>
            <w14:solidFill>
              <w14:schemeClr w14:val="tx1"/>
            </w14:solidFill>
          </w14:textFill>
        </w:rPr>
        <w:t>副总指挥职责</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A.</w:t>
      </w:r>
      <w:r>
        <w:rPr>
          <w:color w:val="000000" w:themeColor="text1"/>
          <w14:textFill>
            <w14:solidFill>
              <w14:schemeClr w14:val="tx1"/>
            </w14:solidFill>
          </w14:textFill>
        </w:rPr>
        <w:t>负责协助总指挥</w:t>
      </w:r>
      <w:r>
        <w:rPr>
          <w:rFonts w:hint="eastAsia"/>
          <w:color w:val="000000" w:themeColor="text1"/>
          <w14:textFill>
            <w14:solidFill>
              <w14:schemeClr w14:val="tx1"/>
            </w14:solidFill>
          </w14:textFill>
        </w:rPr>
        <w:t>做</w:t>
      </w:r>
      <w:r>
        <w:rPr>
          <w:color w:val="000000" w:themeColor="text1"/>
          <w14:textFill>
            <w14:solidFill>
              <w14:schemeClr w14:val="tx1"/>
            </w14:solidFill>
          </w14:textFill>
        </w:rPr>
        <w:t>好应急救援的具体指挥工作；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B.</w:t>
      </w:r>
      <w:r>
        <w:rPr>
          <w:color w:val="000000" w:themeColor="text1"/>
          <w14:textFill>
            <w14:solidFill>
              <w14:schemeClr w14:val="tx1"/>
            </w14:solidFill>
          </w14:textFill>
        </w:rPr>
        <w:t>指挥长不在时，全权负责应急救援工作；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C.</w:t>
      </w:r>
      <w:r>
        <w:rPr>
          <w:color w:val="000000" w:themeColor="text1"/>
          <w14:textFill>
            <w14:solidFill>
              <w14:schemeClr w14:val="tx1"/>
            </w14:solidFill>
          </w14:textFill>
        </w:rPr>
        <w:t>按事故处置程序正确组织进行现场事故处置，尽量减少损失。</w:t>
      </w:r>
    </w:p>
    <w:p>
      <w:pPr>
        <w:pStyle w:val="16"/>
        <w:rPr>
          <w:color w:val="000000" w:themeColor="text1"/>
          <w14:textFill>
            <w14:solidFill>
              <w14:schemeClr w14:val="tx1"/>
            </w14:solidFill>
          </w14:textFill>
        </w:rPr>
      </w:pPr>
      <w:bookmarkStart w:id="68" w:name="_Toc43143186"/>
      <w:bookmarkStart w:id="69" w:name="_Toc31113"/>
      <w:r>
        <w:rPr>
          <w:color w:val="000000" w:themeColor="text1"/>
          <w14:textFill>
            <w14:solidFill>
              <w14:schemeClr w14:val="tx1"/>
            </w14:solidFill>
          </w14:textFill>
        </w:rPr>
        <w:t>4.2.2指挥协调组</w:t>
      </w:r>
      <w:bookmarkEnd w:id="68"/>
      <w:bookmarkEnd w:id="69"/>
    </w:p>
    <w:p>
      <w:pPr>
        <w:ind w:firstLine="560"/>
        <w:rPr>
          <w:color w:val="000000" w:themeColor="text1"/>
          <w14:textFill>
            <w14:solidFill>
              <w14:schemeClr w14:val="tx1"/>
            </w14:solidFill>
          </w14:textFill>
        </w:rPr>
      </w:pPr>
      <w:r>
        <w:rPr>
          <w:color w:val="000000" w:themeColor="text1"/>
          <w14:textFill>
            <w14:solidFill>
              <w14:schemeClr w14:val="tx1"/>
            </w14:solidFill>
          </w14:textFill>
        </w:rPr>
        <w:t>由公司综合管理部组成，总指挥任组长。主要职责为：</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（1）确保与外部通讯畅通；</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（2）总指挥做好事故报警、情况通报及事故处置工作；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（3）指挥中心对外发布有关信息；</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（4）交通安全、抢险车辆调配。</w:t>
      </w:r>
    </w:p>
    <w:p>
      <w:pPr>
        <w:pStyle w:val="16"/>
        <w:rPr>
          <w:color w:val="000000" w:themeColor="text1"/>
          <w14:textFill>
            <w14:solidFill>
              <w14:schemeClr w14:val="tx1"/>
            </w14:solidFill>
          </w14:textFill>
        </w:rPr>
      </w:pPr>
      <w:bookmarkStart w:id="70" w:name="_Toc11694"/>
      <w:bookmarkStart w:id="71" w:name="_Toc43143187"/>
      <w:r>
        <w:rPr>
          <w:color w:val="000000" w:themeColor="text1"/>
          <w14:textFill>
            <w14:solidFill>
              <w14:schemeClr w14:val="tx1"/>
            </w14:solidFill>
          </w14:textFill>
        </w:rPr>
        <w:t>4.2.3</w:t>
      </w:r>
      <w:bookmarkEnd w:id="70"/>
      <w:r>
        <w:rPr>
          <w:rFonts w:hint="eastAsia"/>
          <w:color w:val="000000" w:themeColor="text1"/>
          <w14:textFill>
            <w14:solidFill>
              <w14:schemeClr w14:val="tx1"/>
            </w14:solidFill>
          </w14:textFill>
        </w:rPr>
        <w:t>信息通讯组</w:t>
      </w:r>
      <w:bookmarkEnd w:id="71"/>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由公司综合管理部组成，总指挥任组长。其主要职责为：</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bookmarkStart w:id="72" w:name="_Toc22336"/>
      <w:r>
        <w:rPr>
          <w:rFonts w:hint="eastAsia"/>
          <w:color w:val="000000" w:themeColor="text1"/>
          <w14:textFill>
            <w14:solidFill>
              <w14:schemeClr w14:val="tx1"/>
            </w14:solidFill>
          </w14:textFill>
        </w:rPr>
        <w:t>确保与外部通讯畅通；</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（2）总指挥做好事故报警、情况通报及事故处置工作；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（3）指挥中心对外发布有关信息；</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（4）交通安全、抢险车辆调配。</w:t>
      </w:r>
    </w:p>
    <w:p>
      <w:pPr>
        <w:pStyle w:val="16"/>
        <w:rPr>
          <w:color w:val="000000" w:themeColor="text1"/>
          <w14:textFill>
            <w14:solidFill>
              <w14:schemeClr w14:val="tx1"/>
            </w14:solidFill>
          </w14:textFill>
        </w:rPr>
      </w:pPr>
      <w:bookmarkStart w:id="73" w:name="_Toc43143188"/>
      <w:r>
        <w:rPr>
          <w:color w:val="000000" w:themeColor="text1"/>
          <w14:textFill>
            <w14:solidFill>
              <w14:schemeClr w14:val="tx1"/>
            </w14:solidFill>
          </w14:textFill>
        </w:rPr>
        <w:t>4.2.4</w:t>
      </w:r>
      <w:bookmarkEnd w:id="72"/>
      <w:r>
        <w:rPr>
          <w:rFonts w:hint="eastAsia"/>
          <w:color w:val="000000" w:themeColor="text1"/>
          <w14:textFill>
            <w14:solidFill>
              <w14:schemeClr w14:val="tx1"/>
            </w14:solidFill>
          </w14:textFill>
        </w:rPr>
        <w:t>后勤救护组</w:t>
      </w:r>
      <w:bookmarkEnd w:id="73"/>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安全环保部、办公室人员配合医院成立医疗救护组，安全环保部副部长担任组长。主要职责：</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（1）组织医疗卫生应急救援队伍和相关单位人员对事故中受伤人员进行抢救、紧急处理及治疗工作；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（2）负责现场医疗救护指挥，与医疗单位联系，将中毒、受伤人员分类抢救和护送转院工作。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（3）负责应急救援车辆、救援物资、救援装备及时到位；</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（4）做好参与应急救援人员的后勤保障，安排伤亡人员及家属的食宿，应急处置的费用支出结算工作；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（5）负责急救行动和人员、器材、物资的运输保障。</w:t>
      </w:r>
    </w:p>
    <w:p>
      <w:pPr>
        <w:pStyle w:val="16"/>
        <w:rPr>
          <w:color w:val="000000" w:themeColor="text1"/>
          <w14:textFill>
            <w14:solidFill>
              <w14:schemeClr w14:val="tx1"/>
            </w14:solidFill>
          </w14:textFill>
        </w:rPr>
      </w:pPr>
      <w:bookmarkStart w:id="74" w:name="_Toc12862"/>
      <w:bookmarkStart w:id="75" w:name="_Toc43143189"/>
      <w:r>
        <w:rPr>
          <w:color w:val="000000" w:themeColor="text1"/>
          <w14:textFill>
            <w14:solidFill>
              <w14:schemeClr w14:val="tx1"/>
            </w14:solidFill>
          </w14:textFill>
        </w:rPr>
        <w:t>4.2.5</w:t>
      </w:r>
      <w:r>
        <w:rPr>
          <w:rFonts w:hint="eastAsia"/>
          <w:color w:val="000000" w:themeColor="text1"/>
          <w14:textFill>
            <w14:solidFill>
              <w14:schemeClr w14:val="tx1"/>
            </w14:solidFill>
          </w14:textFill>
        </w:rPr>
        <w:t>抢修维修</w:t>
      </w:r>
      <w:r>
        <w:rPr>
          <w:color w:val="000000" w:themeColor="text1"/>
          <w14:textFill>
            <w14:solidFill>
              <w14:schemeClr w14:val="tx1"/>
            </w14:solidFill>
          </w14:textFill>
        </w:rPr>
        <w:t>组</w:t>
      </w:r>
      <w:bookmarkEnd w:id="74"/>
      <w:bookmarkEnd w:id="75"/>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由机修工、电焊工组成，选厂车间主任担任组长。主要职责：负责处置事故现场设备、设施的抢修，保障事故状态下动力、能源供应和事故现场的通讯畅通。</w:t>
      </w:r>
    </w:p>
    <w:p>
      <w:pPr>
        <w:pStyle w:val="16"/>
        <w:rPr>
          <w:color w:val="000000" w:themeColor="text1"/>
          <w14:textFill>
            <w14:solidFill>
              <w14:schemeClr w14:val="tx1"/>
            </w14:solidFill>
          </w14:textFill>
        </w:rPr>
      </w:pPr>
      <w:bookmarkStart w:id="76" w:name="_Toc23832"/>
      <w:bookmarkStart w:id="77" w:name="_Toc43143190"/>
      <w:r>
        <w:rPr>
          <w:color w:val="000000" w:themeColor="text1"/>
          <w14:textFill>
            <w14:solidFill>
              <w14:schemeClr w14:val="tx1"/>
            </w14:solidFill>
          </w14:textFill>
        </w:rPr>
        <w:t>4.2.6</w:t>
      </w:r>
      <w:r>
        <w:rPr>
          <w:rFonts w:hint="eastAsia"/>
          <w:color w:val="000000" w:themeColor="text1"/>
          <w14:textFill>
            <w14:solidFill>
              <w14:schemeClr w14:val="tx1"/>
            </w14:solidFill>
          </w14:textFill>
        </w:rPr>
        <w:t>环境保护</w:t>
      </w:r>
      <w:r>
        <w:rPr>
          <w:color w:val="000000" w:themeColor="text1"/>
          <w14:textFill>
            <w14:solidFill>
              <w14:schemeClr w14:val="tx1"/>
            </w14:solidFill>
          </w14:textFill>
        </w:rPr>
        <w:t>组</w:t>
      </w:r>
      <w:bookmarkEnd w:id="76"/>
      <w:bookmarkEnd w:id="77"/>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质检部配合外部专业技术监测机构组成，质检部负责人任组长，主要职责：</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（1）请求相关资质部门对环境污染物进行监测、分析；</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（2）污染物的处理，尽可能减少突发事件对环境的危害；</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（3）组织事故现场的消洗工作；</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（4）突发事故应急预案的修订和演练工作；</w:t>
      </w:r>
    </w:p>
    <w:p>
      <w:pPr>
        <w:ind w:firstLine="560"/>
        <w:rPr>
          <w:rFonts w:cs="Times New Roman"/>
          <w:color w:val="000000" w:themeColor="text1"/>
          <w:szCs w:val="28"/>
          <w14:textFill>
            <w14:solidFill>
              <w14:schemeClr w14:val="tx1"/>
            </w14:solidFill>
          </w14:textFill>
        </w:rPr>
      </w:pPr>
      <w:r>
        <w:rPr>
          <w:rFonts w:hint="eastAsia"/>
          <w:color w:val="000000" w:themeColor="text1"/>
          <w14:textFill>
            <w14:solidFill>
              <w14:schemeClr w14:val="tx1"/>
            </w14:solidFill>
          </w14:textFill>
        </w:rPr>
        <w:t>（5）响应规程中的对内、对外协调工作。</w:t>
      </w:r>
    </w:p>
    <w:p>
      <w:pPr>
        <w:pStyle w:val="16"/>
        <w:rPr>
          <w:color w:val="000000" w:themeColor="text1"/>
          <w14:textFill>
            <w14:solidFill>
              <w14:schemeClr w14:val="tx1"/>
            </w14:solidFill>
          </w14:textFill>
        </w:rPr>
      </w:pPr>
      <w:bookmarkStart w:id="78" w:name="_Toc8253"/>
      <w:bookmarkStart w:id="79" w:name="_Toc43143191"/>
      <w:r>
        <w:rPr>
          <w:color w:val="000000" w:themeColor="text1"/>
          <w14:textFill>
            <w14:solidFill>
              <w14:schemeClr w14:val="tx1"/>
            </w14:solidFill>
          </w14:textFill>
        </w:rPr>
        <w:t>4.2.7</w:t>
      </w:r>
      <w:r>
        <w:rPr>
          <w:rFonts w:hint="eastAsia"/>
          <w:color w:val="000000" w:themeColor="text1"/>
          <w14:textFill>
            <w14:solidFill>
              <w14:schemeClr w14:val="tx1"/>
            </w14:solidFill>
          </w14:textFill>
        </w:rPr>
        <w:t>警戒疏散</w:t>
      </w:r>
      <w:r>
        <w:rPr>
          <w:color w:val="000000" w:themeColor="text1"/>
          <w14:textFill>
            <w14:solidFill>
              <w14:schemeClr w14:val="tx1"/>
            </w14:solidFill>
          </w14:textFill>
        </w:rPr>
        <w:t>组</w:t>
      </w:r>
      <w:bookmarkEnd w:id="78"/>
      <w:bookmarkEnd w:id="79"/>
    </w:p>
    <w:p>
      <w:pPr>
        <w:ind w:firstLine="560"/>
        <w:rPr>
          <w:color w:val="000000" w:themeColor="text1"/>
          <w14:textFill>
            <w14:solidFill>
              <w14:schemeClr w14:val="tx1"/>
            </w14:solidFill>
          </w14:textFill>
        </w:rPr>
      </w:pPr>
      <w:r>
        <w:rPr>
          <w:color w:val="000000" w:themeColor="text1"/>
          <w14:textFill>
            <w14:solidFill>
              <w14:schemeClr w14:val="tx1"/>
            </w14:solidFill>
          </w14:textFill>
        </w:rPr>
        <w:t>办公室设在门卫班，由保卫科负责人担任组长。主要职责：</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（1）协助总指挥做好事故报警、情况通报及事故处置工作；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（2）负责组织指挥抢救人员和财产，疏散现场遇险人员，清理和维护现场治安秩序；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（3）负责利用自有灭火器材及消防设施，开展灭火自救，警戒、治安保卫、疏散、道路管制工作；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（4）协助和配合公安、消防及专业队伍进行消防保卫应急救援。</w:t>
      </w:r>
    </w:p>
    <w:p>
      <w:pPr>
        <w:pStyle w:val="18"/>
        <w:rPr>
          <w:color w:val="000000" w:themeColor="text1"/>
          <w14:textFill>
            <w14:solidFill>
              <w14:schemeClr w14:val="tx1"/>
            </w14:solidFill>
          </w14:textFill>
        </w:rPr>
      </w:pPr>
      <w:bookmarkStart w:id="80" w:name="_Toc43143192"/>
      <w:bookmarkStart w:id="81" w:name="_Toc5925"/>
      <w:r>
        <w:rPr>
          <w:color w:val="000000" w:themeColor="text1"/>
          <w14:textFill>
            <w14:solidFill>
              <w14:schemeClr w14:val="tx1"/>
            </w14:solidFill>
          </w14:textFill>
        </w:rPr>
        <w:t>4.3政府主导应急处置后的指挥与协调</w:t>
      </w:r>
      <w:bookmarkEnd w:id="80"/>
      <w:bookmarkEnd w:id="81"/>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办公室负责对外联络，建立与</w:t>
      </w:r>
      <w:r>
        <w:rPr>
          <w:rFonts w:hint="eastAsia"/>
          <w:color w:val="000000" w:themeColor="text1"/>
          <w14:textFill>
            <w14:solidFill>
              <w14:schemeClr w14:val="tx1"/>
            </w14:solidFill>
          </w14:textFill>
        </w:rPr>
        <w:t>勐龙镇</w:t>
      </w:r>
      <w:r>
        <w:rPr>
          <w:color w:val="000000" w:themeColor="text1"/>
          <w14:textFill>
            <w14:solidFill>
              <w14:schemeClr w14:val="tx1"/>
            </w14:solidFill>
          </w14:textFill>
        </w:rPr>
        <w:t>人民政府、</w:t>
      </w:r>
      <w:r>
        <w:rPr>
          <w:rFonts w:hint="eastAsia"/>
          <w:color w:val="000000" w:themeColor="text1"/>
          <w14:textFill>
            <w14:solidFill>
              <w14:schemeClr w14:val="tx1"/>
            </w14:solidFill>
          </w14:textFill>
        </w:rPr>
        <w:t>景洪市</w:t>
      </w:r>
      <w:r>
        <w:rPr>
          <w:color w:val="000000" w:themeColor="text1"/>
          <w14:textFill>
            <w14:solidFill>
              <w14:schemeClr w14:val="tx1"/>
            </w14:solidFill>
          </w14:textFill>
        </w:rPr>
        <w:t>人民政府</w:t>
      </w:r>
      <w:r>
        <w:rPr>
          <w:rFonts w:hint="eastAsia"/>
          <w:color w:val="000000" w:themeColor="text1"/>
          <w14:textFill>
            <w14:solidFill>
              <w14:schemeClr w14:val="tx1"/>
            </w14:solidFill>
          </w14:textFill>
        </w:rPr>
        <w:t>、西双版纳州</w:t>
      </w:r>
      <w:r>
        <w:rPr>
          <w:color w:val="000000" w:themeColor="text1"/>
          <w14:textFill>
            <w14:solidFill>
              <w14:schemeClr w14:val="tx1"/>
            </w14:solidFill>
          </w14:textFill>
        </w:rPr>
        <w:t>生态环境局</w:t>
      </w:r>
      <w:r>
        <w:rPr>
          <w:rFonts w:hint="eastAsia"/>
          <w:color w:val="000000" w:themeColor="text1"/>
          <w14:textFill>
            <w14:solidFill>
              <w14:schemeClr w14:val="tx1"/>
            </w14:solidFill>
          </w14:textFill>
        </w:rPr>
        <w:t>景洪</w:t>
      </w:r>
      <w:r>
        <w:rPr>
          <w:color w:val="000000" w:themeColor="text1"/>
          <w14:textFill>
            <w14:solidFill>
              <w14:schemeClr w14:val="tx1"/>
            </w14:solidFill>
          </w14:textFill>
        </w:rPr>
        <w:t>分局、</w:t>
      </w:r>
      <w:r>
        <w:rPr>
          <w:rFonts w:hint="eastAsia"/>
          <w:color w:val="000000" w:themeColor="text1"/>
          <w14:textFill>
            <w14:solidFill>
              <w14:schemeClr w14:val="tx1"/>
            </w14:solidFill>
          </w14:textFill>
        </w:rPr>
        <w:t>西双版纳州</w:t>
      </w:r>
      <w:r>
        <w:rPr>
          <w:color w:val="000000" w:themeColor="text1"/>
          <w14:textFill>
            <w14:solidFill>
              <w14:schemeClr w14:val="tx1"/>
            </w14:solidFill>
          </w14:textFill>
        </w:rPr>
        <w:t>生态环境局，</w:t>
      </w:r>
      <w:r>
        <w:rPr>
          <w:rFonts w:hint="eastAsia"/>
          <w:color w:val="000000" w:themeColor="text1"/>
          <w14:textFill>
            <w14:solidFill>
              <w14:schemeClr w14:val="tx1"/>
            </w14:solidFill>
          </w14:textFill>
        </w:rPr>
        <w:t>景洪市</w:t>
      </w:r>
      <w:r>
        <w:rPr>
          <w:color w:val="000000" w:themeColor="text1"/>
          <w14:textFill>
            <w14:solidFill>
              <w14:schemeClr w14:val="tx1"/>
            </w14:solidFill>
          </w14:textFill>
        </w:rPr>
        <w:t>应急管理局、</w:t>
      </w:r>
      <w:r>
        <w:rPr>
          <w:rFonts w:hint="eastAsia"/>
          <w:color w:val="000000" w:themeColor="text1"/>
          <w14:textFill>
            <w14:solidFill>
              <w14:schemeClr w14:val="tx1"/>
            </w14:solidFill>
          </w14:textFill>
        </w:rPr>
        <w:t>西双版纳州</w:t>
      </w:r>
      <w:r>
        <w:rPr>
          <w:color w:val="000000" w:themeColor="text1"/>
          <w14:textFill>
            <w14:solidFill>
              <w14:schemeClr w14:val="tx1"/>
            </w14:solidFill>
          </w14:textFill>
        </w:rPr>
        <w:t>应急管理局，消防中队之间的应急联动机制，配合</w:t>
      </w:r>
      <w:r>
        <w:rPr>
          <w:rFonts w:hint="eastAsia"/>
          <w:color w:val="000000" w:themeColor="text1"/>
          <w14:textFill>
            <w14:solidFill>
              <w14:schemeClr w14:val="tx1"/>
            </w14:solidFill>
          </w14:textFill>
        </w:rPr>
        <w:t>勐龙镇</w:t>
      </w:r>
      <w:r>
        <w:rPr>
          <w:color w:val="000000" w:themeColor="text1"/>
          <w14:textFill>
            <w14:solidFill>
              <w14:schemeClr w14:val="tx1"/>
            </w14:solidFill>
          </w14:textFill>
        </w:rPr>
        <w:t>人民政府及其有关部门的应急处置工作，统筹配置应急救援组织机构、队伍、装备和物资，共享区域应急资源，提高共同应对突发环境事件的能力和水平。</w:t>
      </w:r>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当尾矿库突发环境事件影响到场外，公司应对能力不足时，经公司总指挥同意，由公司办公室负责，及时向</w:t>
      </w:r>
      <w:r>
        <w:rPr>
          <w:rFonts w:hint="eastAsia"/>
          <w:color w:val="000000" w:themeColor="text1"/>
          <w14:textFill>
            <w14:solidFill>
              <w14:schemeClr w14:val="tx1"/>
            </w14:solidFill>
          </w14:textFill>
        </w:rPr>
        <w:t>勐龙镇</w:t>
      </w:r>
      <w:r>
        <w:rPr>
          <w:color w:val="000000" w:themeColor="text1"/>
          <w14:textFill>
            <w14:solidFill>
              <w14:schemeClr w14:val="tx1"/>
            </w14:solidFill>
          </w14:textFill>
        </w:rPr>
        <w:t>人民政府、</w:t>
      </w:r>
      <w:r>
        <w:rPr>
          <w:rFonts w:hint="eastAsia"/>
          <w:color w:val="000000" w:themeColor="text1"/>
          <w14:textFill>
            <w14:solidFill>
              <w14:schemeClr w14:val="tx1"/>
            </w14:solidFill>
          </w14:textFill>
        </w:rPr>
        <w:t>景洪市</w:t>
      </w:r>
      <w:r>
        <w:rPr>
          <w:color w:val="000000" w:themeColor="text1"/>
          <w14:textFill>
            <w14:solidFill>
              <w14:schemeClr w14:val="tx1"/>
            </w14:solidFill>
          </w14:textFill>
        </w:rPr>
        <w:t>人民政府、</w:t>
      </w:r>
      <w:r>
        <w:rPr>
          <w:rFonts w:hint="eastAsia"/>
          <w:color w:val="000000" w:themeColor="text1"/>
          <w14:textFill>
            <w14:solidFill>
              <w14:schemeClr w14:val="tx1"/>
            </w14:solidFill>
          </w14:textFill>
        </w:rPr>
        <w:t>西双版纳州</w:t>
      </w:r>
      <w:r>
        <w:rPr>
          <w:color w:val="000000" w:themeColor="text1"/>
          <w14:textFill>
            <w14:solidFill>
              <w14:schemeClr w14:val="tx1"/>
            </w14:solidFill>
          </w14:textFill>
        </w:rPr>
        <w:t>生态环境局</w:t>
      </w:r>
      <w:r>
        <w:rPr>
          <w:rFonts w:hint="eastAsia"/>
          <w:color w:val="000000" w:themeColor="text1"/>
          <w14:textFill>
            <w14:solidFill>
              <w14:schemeClr w14:val="tx1"/>
            </w14:solidFill>
          </w14:textFill>
        </w:rPr>
        <w:t>景洪</w:t>
      </w:r>
      <w:r>
        <w:rPr>
          <w:color w:val="000000" w:themeColor="text1"/>
          <w14:textFill>
            <w14:solidFill>
              <w14:schemeClr w14:val="tx1"/>
            </w14:solidFill>
          </w14:textFill>
        </w:rPr>
        <w:t>分局及外部有关单位求援。当由政府或生态环境局等有关部门介入或主导突发环境事件的应急处置工作时，公司内部应急组织机构成员不变，职责由负责应急处置转变为服从指挥，配合相关部门参与处置工作。</w:t>
      </w:r>
    </w:p>
    <w:p>
      <w:pPr>
        <w:pStyle w:val="17"/>
        <w:adjustRightInd/>
        <w:spacing w:before="190" w:beforeLines="50" w:after="190" w:afterLines="50"/>
        <w:textAlignment w:val="auto"/>
        <w:rPr>
          <w:rFonts w:ascii="Times New Roman" w:eastAsia="楷体_GB2312" w:cs="Times New Roman"/>
          <w:color w:val="000000" w:themeColor="text1"/>
          <w:sz w:val="44"/>
          <w14:textFill>
            <w14:solidFill>
              <w14:schemeClr w14:val="tx1"/>
            </w14:solidFill>
          </w14:textFill>
        </w:rPr>
      </w:pPr>
      <w:bookmarkStart w:id="82" w:name="_Toc21327"/>
      <w:bookmarkStart w:id="83" w:name="_Toc10740"/>
      <w:r>
        <w:rPr>
          <w:rFonts w:hAnsi="Calibri"/>
          <w:color w:val="000000" w:themeColor="text1"/>
          <w14:textFill>
            <w14:solidFill>
              <w14:schemeClr w14:val="tx1"/>
            </w14:solidFill>
          </w14:textFill>
        </w:rPr>
        <w:br w:type="page"/>
      </w:r>
      <w:bookmarkStart w:id="84" w:name="_Toc43143193"/>
      <w:r>
        <w:rPr>
          <w:rFonts w:ascii="Times New Roman" w:eastAsia="楷体_GB2312" w:cs="Times New Roman"/>
          <w:color w:val="000000" w:themeColor="text1"/>
          <w:szCs w:val="15"/>
          <w14:textFill>
            <w14:solidFill>
              <w14:schemeClr w14:val="tx1"/>
            </w14:solidFill>
          </w14:textFill>
        </w:rPr>
        <w:t>5预警</w:t>
      </w:r>
      <w:bookmarkEnd w:id="82"/>
      <w:bookmarkEnd w:id="83"/>
      <w:bookmarkEnd w:id="84"/>
    </w:p>
    <w:p>
      <w:pPr>
        <w:pStyle w:val="18"/>
        <w:rPr>
          <w:color w:val="000000" w:themeColor="text1"/>
          <w14:textFill>
            <w14:solidFill>
              <w14:schemeClr w14:val="tx1"/>
            </w14:solidFill>
          </w14:textFill>
        </w:rPr>
      </w:pPr>
      <w:bookmarkStart w:id="85" w:name="_Toc670"/>
      <w:bookmarkStart w:id="86" w:name="_Toc13873"/>
      <w:bookmarkStart w:id="87" w:name="_Toc43143194"/>
      <w:r>
        <w:rPr>
          <w:color w:val="000000" w:themeColor="text1"/>
          <w14:textFill>
            <w14:solidFill>
              <w14:schemeClr w14:val="tx1"/>
            </w14:solidFill>
          </w14:textFill>
        </w:rPr>
        <w:t>5.1预警监测</w:t>
      </w:r>
      <w:bookmarkEnd w:id="85"/>
      <w:bookmarkEnd w:id="86"/>
      <w:bookmarkEnd w:id="87"/>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尾矿库环境风险评估报告</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，结合尾矿库可能发生的突发环境事件情景，制定尾矿库预警监测制度及工作方案，见表5.1-1。</w:t>
      </w:r>
    </w:p>
    <w:p>
      <w:pPr>
        <w:pStyle w:val="38"/>
        <w:snapToGrid w:val="0"/>
        <w:spacing w:before="190" w:beforeLines="50" w:afterLines="0"/>
        <w:rPr>
          <w:rFonts w:cs="Times New Roman"/>
          <w:color w:val="000000" w:themeColor="text1"/>
          <w:sz w:val="28"/>
          <w14:textFill>
            <w14:solidFill>
              <w14:schemeClr w14:val="tx1"/>
            </w14:solidFill>
          </w14:textFill>
        </w:rPr>
      </w:pPr>
      <w:r>
        <w:rPr>
          <w:rFonts w:cs="Times New Roman"/>
          <w:color w:val="000000" w:themeColor="text1"/>
          <w:sz w:val="28"/>
          <w14:textFill>
            <w14:solidFill>
              <w14:schemeClr w14:val="tx1"/>
            </w14:solidFill>
          </w14:textFill>
        </w:rPr>
        <w:t>表5.1-1 尾矿库预警监测制度及工作方案</w:t>
      </w:r>
    </w:p>
    <w:tbl>
      <w:tblPr>
        <w:tblStyle w:val="31"/>
        <w:tblW w:w="929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06"/>
        <w:gridCol w:w="1407"/>
        <w:gridCol w:w="1661"/>
        <w:gridCol w:w="1371"/>
        <w:gridCol w:w="1271"/>
        <w:gridCol w:w="1377"/>
        <w:gridCol w:w="109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4" w:hRule="atLeast"/>
          <w:jc w:val="center"/>
        </w:trPr>
        <w:tc>
          <w:tcPr>
            <w:tcW w:w="1106"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监测/检</w:t>
            </w:r>
          </w:p>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查设施</w:t>
            </w:r>
          </w:p>
        </w:tc>
        <w:tc>
          <w:tcPr>
            <w:tcW w:w="1407"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监测点位</w:t>
            </w:r>
          </w:p>
        </w:tc>
        <w:tc>
          <w:tcPr>
            <w:tcW w:w="1661"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监测/检查项目</w:t>
            </w:r>
            <w:r>
              <w:rPr>
                <w:rFonts w:cs="Times New Roman"/>
                <w:b/>
                <w:bCs/>
                <w:color w:val="000000" w:themeColor="text1"/>
                <w:sz w:val="24"/>
                <w:szCs w:val="24"/>
                <w:vertAlign w:val="superscript"/>
                <w14:textFill>
                  <w14:solidFill>
                    <w14:schemeClr w14:val="tx1"/>
                  </w14:solidFill>
                </w14:textFill>
              </w:rPr>
              <w:t>1</w:t>
            </w:r>
          </w:p>
        </w:tc>
        <w:tc>
          <w:tcPr>
            <w:tcW w:w="1371"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监测/检查</w:t>
            </w:r>
          </w:p>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频次</w:t>
            </w:r>
            <w:r>
              <w:rPr>
                <w:rFonts w:cs="Times New Roman"/>
                <w:b/>
                <w:bCs/>
                <w:color w:val="000000" w:themeColor="text1"/>
                <w:sz w:val="24"/>
                <w:szCs w:val="24"/>
                <w:vertAlign w:val="superscript"/>
                <w14:textFill>
                  <w14:solidFill>
                    <w14:schemeClr w14:val="tx1"/>
                  </w14:solidFill>
                </w14:textFill>
              </w:rPr>
              <w:t>1</w:t>
            </w:r>
          </w:p>
        </w:tc>
        <w:tc>
          <w:tcPr>
            <w:tcW w:w="1271"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监测/检查方法</w:t>
            </w:r>
          </w:p>
        </w:tc>
        <w:tc>
          <w:tcPr>
            <w:tcW w:w="1377"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责任人</w:t>
            </w:r>
          </w:p>
        </w:tc>
        <w:tc>
          <w:tcPr>
            <w:tcW w:w="1098"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1106"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排洪系统</w:t>
            </w: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排洪斜槽</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restart"/>
            <w:vAlign w:val="center"/>
          </w:tcPr>
          <w:p>
            <w:pPr>
              <w:tabs>
                <w:tab w:val="right" w:leader="dot" w:pos="8296"/>
              </w:tabs>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安全要求日常检查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排洪暗涵</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continue"/>
            <w:vAlign w:val="center"/>
          </w:tcPr>
          <w:p>
            <w:pPr>
              <w:pStyle w:val="20"/>
              <w:kinsoku w:val="0"/>
              <w:overflowPunct w:val="0"/>
              <w:snapToGrid w:val="0"/>
              <w:spacing w:before="14"/>
              <w:ind w:left="480"/>
              <w:jc w:val="center"/>
              <w:rPr>
                <w:rFonts w:ascii="Times New Roman" w:eastAsia="仿宋" w:cs="Times New Roman"/>
                <w:b/>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9"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排水明渠</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continue"/>
            <w:vAlign w:val="center"/>
          </w:tcPr>
          <w:p>
            <w:pPr>
              <w:pStyle w:val="20"/>
              <w:kinsoku w:val="0"/>
              <w:overflowPunct w:val="0"/>
              <w:snapToGrid w:val="0"/>
              <w:spacing w:before="14"/>
              <w:ind w:left="480"/>
              <w:jc w:val="center"/>
              <w:rPr>
                <w:rFonts w:ascii="Times New Roman" w:eastAsia="仿宋" w:cs="Times New Roman"/>
                <w:b/>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4"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南侧截排水沟</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continue"/>
            <w:vAlign w:val="center"/>
          </w:tcPr>
          <w:p>
            <w:pPr>
              <w:pStyle w:val="20"/>
              <w:kinsoku w:val="0"/>
              <w:overflowPunct w:val="0"/>
              <w:snapToGrid w:val="0"/>
              <w:spacing w:before="14"/>
              <w:ind w:left="480"/>
              <w:jc w:val="center"/>
              <w:rPr>
                <w:rFonts w:ascii="Times New Roman" w:eastAsia="仿宋" w:cs="Times New Roman"/>
                <w:b/>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1" w:hRule="atLeast"/>
          <w:jc w:val="center"/>
        </w:trPr>
        <w:tc>
          <w:tcPr>
            <w:tcW w:w="1106"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尾矿库坝体</w:t>
            </w: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坝顶</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构筑物、坝顶变形观测点</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安全要求日常检查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坝肩</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构筑物、坝肩变形观测点</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 w:hRule="atLeast"/>
          <w:jc w:val="center"/>
        </w:trPr>
        <w:tc>
          <w:tcPr>
            <w:tcW w:w="1106"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尾矿库水位</w:t>
            </w: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尾矿库水位</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水位标尺</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安全要求日常检查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2"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尾矿坝浸润线</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浸润线测压管</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106"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回水池</w:t>
            </w:r>
          </w:p>
        </w:tc>
        <w:tc>
          <w:tcPr>
            <w:tcW w:w="1407"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集水池、高位水池</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环保重点检查项目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水位标尺</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6"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水质</w:t>
            </w:r>
            <w:r>
              <w:rPr>
                <w:rFonts w:cs="Times New Roman"/>
                <w:color w:val="000000" w:themeColor="text1"/>
                <w:sz w:val="24"/>
                <w:szCs w:val="24"/>
                <w:vertAlign w:val="superscript"/>
                <w14:textFill>
                  <w14:solidFill>
                    <w14:schemeClr w14:val="tx1"/>
                  </w14:solidFill>
                </w14:textFill>
              </w:rPr>
              <w:t>2</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监测</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化验室人员</w:t>
            </w:r>
          </w:p>
        </w:tc>
        <w:tc>
          <w:tcPr>
            <w:tcW w:w="1098"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2" w:hRule="atLeast"/>
          <w:jc w:val="center"/>
        </w:trPr>
        <w:tc>
          <w:tcPr>
            <w:tcW w:w="1106"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应急设施</w:t>
            </w:r>
          </w:p>
        </w:tc>
        <w:tc>
          <w:tcPr>
            <w:tcW w:w="1407"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事故池</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构筑物</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环保重点检查项目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106"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是否有积水</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jc w:val="center"/>
        </w:trPr>
        <w:tc>
          <w:tcPr>
            <w:tcW w:w="1106"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水位</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1次/</w:t>
            </w:r>
            <w:r>
              <w:rPr>
                <w:rFonts w:hint="eastAsia" w:cs="Times New Roman"/>
                <w:color w:val="000000" w:themeColor="text1"/>
                <w:sz w:val="24"/>
                <w:szCs w:val="24"/>
                <w14:textFill>
                  <w14:solidFill>
                    <w14:schemeClr w14:val="tx1"/>
                  </w14:solidFill>
                </w14:textFill>
              </w:rPr>
              <w:t>时</w:t>
            </w:r>
          </w:p>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（极端天气）</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现场检查</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尾矿工</w:t>
            </w:r>
          </w:p>
        </w:tc>
        <w:tc>
          <w:tcPr>
            <w:tcW w:w="1098"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 w:hRule="atLeast"/>
          <w:jc w:val="center"/>
        </w:trPr>
        <w:tc>
          <w:tcPr>
            <w:tcW w:w="1106"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输送管线</w:t>
            </w:r>
          </w:p>
        </w:tc>
        <w:tc>
          <w:tcPr>
            <w:tcW w:w="1407"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尾矿输送管线</w:t>
            </w:r>
          </w:p>
        </w:tc>
        <w:tc>
          <w:tcPr>
            <w:tcW w:w="1661"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管线腐蚀、破损、破坏</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管道巡检</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保卫人员</w:t>
            </w:r>
          </w:p>
        </w:tc>
        <w:tc>
          <w:tcPr>
            <w:tcW w:w="1098" w:type="dxa"/>
            <w:vMerge w:val="restart"/>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安全、环保</w:t>
            </w:r>
          </w:p>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检查项目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4"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661"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实时</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观察压力</w:t>
            </w:r>
          </w:p>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仪表</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选厂泵房人</w:t>
            </w:r>
          </w:p>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员</w:t>
            </w:r>
          </w:p>
        </w:tc>
        <w:tc>
          <w:tcPr>
            <w:tcW w:w="1098"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4" w:hRule="atLeast"/>
          <w:jc w:val="center"/>
        </w:trPr>
        <w:tc>
          <w:tcPr>
            <w:tcW w:w="1106"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c>
          <w:tcPr>
            <w:tcW w:w="140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回水管线</w:t>
            </w:r>
          </w:p>
        </w:tc>
        <w:tc>
          <w:tcPr>
            <w:tcW w:w="166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管线腐蚀、破损、破坏</w:t>
            </w:r>
          </w:p>
        </w:tc>
        <w:tc>
          <w:tcPr>
            <w:tcW w:w="13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2次/天</w:t>
            </w:r>
          </w:p>
        </w:tc>
        <w:tc>
          <w:tcPr>
            <w:tcW w:w="1271"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管道巡检</w:t>
            </w:r>
          </w:p>
        </w:tc>
        <w:tc>
          <w:tcPr>
            <w:tcW w:w="1377"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保卫人员</w:t>
            </w:r>
          </w:p>
        </w:tc>
        <w:tc>
          <w:tcPr>
            <w:tcW w:w="1098" w:type="dxa"/>
            <w:vMerge w:val="continue"/>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p>
        </w:tc>
      </w:tr>
    </w:tbl>
    <w:p>
      <w:pPr>
        <w:ind w:firstLine="0" w:firstLineChars="0"/>
        <w:rPr>
          <w:rFonts w:ascii="仿宋" w:hAnsi="仿宋" w:cs="仿宋"/>
          <w:color w:val="000000" w:themeColor="text1"/>
          <w:sz w:val="21"/>
          <w:szCs w:val="21"/>
          <w14:textFill>
            <w14:solidFill>
              <w14:schemeClr w14:val="tx1"/>
            </w14:solidFill>
          </w14:textFill>
        </w:rPr>
      </w:pPr>
      <w:r>
        <w:rPr>
          <w:rFonts w:hint="eastAsia" w:ascii="仿宋" w:hAnsi="仿宋" w:cs="仿宋"/>
          <w:color w:val="000000" w:themeColor="text1"/>
          <w:sz w:val="21"/>
          <w:szCs w:val="21"/>
          <w14:textFill>
            <w14:solidFill>
              <w14:schemeClr w14:val="tx1"/>
            </w14:solidFill>
          </w14:textFill>
        </w:rPr>
        <w:t>注：1、监测项目、频次及监测方法等应根据尾矿性质、尾矿库规模、环境风险等级、环境风险源、周边环境敏感点等因素增减；2、本示范项目中云南安宁泰源工贸集团有限公司景洪分公司尾矿库回水池监测因子：pH、SS、COD、氟化物、总氮、总磷、NH</w:t>
      </w:r>
      <w:r>
        <w:rPr>
          <w:rFonts w:hint="eastAsia" w:ascii="仿宋" w:hAnsi="仿宋" w:cs="仿宋"/>
          <w:color w:val="000000" w:themeColor="text1"/>
          <w:sz w:val="21"/>
          <w:szCs w:val="21"/>
          <w:vertAlign w:val="subscript"/>
          <w14:textFill>
            <w14:solidFill>
              <w14:schemeClr w14:val="tx1"/>
            </w14:solidFill>
          </w14:textFill>
        </w:rPr>
        <w:t>3</w:t>
      </w:r>
      <w:r>
        <w:rPr>
          <w:rFonts w:hint="eastAsia" w:ascii="仿宋" w:hAnsi="仿宋" w:cs="仿宋"/>
          <w:color w:val="000000" w:themeColor="text1"/>
          <w:sz w:val="21"/>
          <w:szCs w:val="21"/>
          <w14:textFill>
            <w14:solidFill>
              <w14:schemeClr w14:val="tx1"/>
            </w14:solidFill>
          </w14:textFill>
        </w:rPr>
        <w:t>-N、锌、石油类、铜、硫化物、铅、镉、镍、砷、汞、钴、氰化物、锰、总铬、六价铬。</w:t>
      </w:r>
    </w:p>
    <w:p>
      <w:pPr>
        <w:pStyle w:val="18"/>
        <w:rPr>
          <w:color w:val="000000" w:themeColor="text1"/>
          <w14:textFill>
            <w14:solidFill>
              <w14:schemeClr w14:val="tx1"/>
            </w14:solidFill>
          </w14:textFill>
        </w:rPr>
      </w:pPr>
      <w:bookmarkStart w:id="88" w:name="_Toc14719"/>
      <w:bookmarkStart w:id="89" w:name="_Toc43143195"/>
      <w:bookmarkStart w:id="90" w:name="_Toc24816"/>
      <w:r>
        <w:rPr>
          <w:color w:val="000000" w:themeColor="text1"/>
          <w14:textFill>
            <w14:solidFill>
              <w14:schemeClr w14:val="tx1"/>
            </w14:solidFill>
          </w14:textFill>
        </w:rPr>
        <w:t>5.2预警条件及级别</w:t>
      </w:r>
      <w:bookmarkEnd w:id="88"/>
      <w:bookmarkEnd w:id="89"/>
      <w:bookmarkEnd w:id="90"/>
    </w:p>
    <w:p>
      <w:pPr>
        <w:pStyle w:val="16"/>
        <w:rPr>
          <w:color w:val="000000" w:themeColor="text1"/>
          <w14:textFill>
            <w14:solidFill>
              <w14:schemeClr w14:val="tx1"/>
            </w14:solidFill>
          </w14:textFill>
        </w:rPr>
      </w:pPr>
      <w:bookmarkStart w:id="91" w:name="_Toc4318"/>
      <w:bookmarkStart w:id="92" w:name="_Toc43143196"/>
      <w:bookmarkStart w:id="93" w:name="_Toc23041"/>
      <w:r>
        <w:rPr>
          <w:color w:val="000000" w:themeColor="text1"/>
          <w14:textFill>
            <w14:solidFill>
              <w14:schemeClr w14:val="tx1"/>
            </w14:solidFill>
          </w14:textFill>
        </w:rPr>
        <w:t>5.2.1预警条件</w:t>
      </w:r>
      <w:bookmarkEnd w:id="91"/>
      <w:bookmarkEnd w:id="92"/>
      <w:bookmarkEnd w:id="93"/>
    </w:p>
    <w:p>
      <w:pPr>
        <w:ind w:firstLine="560"/>
        <w:rPr>
          <w:rFonts w:cs="Times New Roman"/>
          <w:color w:val="000000" w:themeColor="text1"/>
          <w14:textFill>
            <w14:solidFill>
              <w14:schemeClr w14:val="tx1"/>
            </w14:solidFill>
          </w14:textFill>
        </w:rPr>
      </w:pPr>
      <w:r>
        <w:rPr>
          <w:color w:val="000000" w:themeColor="text1"/>
          <w14:textFill>
            <w14:solidFill>
              <w14:schemeClr w14:val="tx1"/>
            </w14:solidFill>
          </w14:textFill>
        </w:rPr>
        <w:t>预警条件和预警分级的基本原则是做到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早发现、早报告、早发布</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尾矿库突发环境污染事件的预警，指的是当可能发生或已经发生环境突发事件时，怎样在第一时间内将危险信息传送给厂区所有人员和周边涉及人员，以及怎样准备及进行应急救援工作，将人员伤害和经济损失降至最低。</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在发生下列事件时，立即启动本预案：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（1）气象、国土等部门发布的本地区域极端气象（暴雨天、连续暴雨等）或地质灾害（地震）预警；</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（2）尾矿库排洪系统发生严重堵塞或泄漏，导致集水池水位超出警戒线；</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（3）坝体、集水池、输送管线、回水管线发生破损，渗滤液、回水发生渗漏；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（4）坝体出现裂缝，有渗滤液外溢，或直接出现垮坝、溃坝等事故；</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（5）尾矿库渗漏液流量在稳定天气下发生突减；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（6）尾矿库堆体局部发生坍塌事故；</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w:t>
      </w:r>
      <w:r>
        <w:rPr>
          <w:rFonts w:hint="eastAsia"/>
          <w:color w:val="000000" w:themeColor="text1"/>
          <w14:textFill>
            <w14:solidFill>
              <w14:schemeClr w14:val="tx1"/>
            </w14:solidFill>
          </w14:textFill>
        </w:rPr>
        <w:t>监测</w:t>
      </w:r>
      <w:r>
        <w:rPr>
          <w:color w:val="000000" w:themeColor="text1"/>
          <w14:textFill>
            <w14:solidFill>
              <w14:schemeClr w14:val="tx1"/>
            </w14:solidFill>
          </w14:textFill>
        </w:rPr>
        <w:t>井水质出现与本尾矿库产生的渗滤液中的特征污染物超标；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（8）坝体位移、坝体沉降监测出现明显变化等；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（9）其他影响周围环境的突发环境事件；</w:t>
      </w:r>
    </w:p>
    <w:p>
      <w:pPr>
        <w:pStyle w:val="16"/>
        <w:rPr>
          <w:color w:val="000000" w:themeColor="text1"/>
          <w14:textFill>
            <w14:solidFill>
              <w14:schemeClr w14:val="tx1"/>
            </w14:solidFill>
          </w14:textFill>
        </w:rPr>
      </w:pPr>
      <w:bookmarkStart w:id="94" w:name="_Toc30574"/>
      <w:bookmarkStart w:id="95" w:name="_Toc3028"/>
      <w:bookmarkStart w:id="96" w:name="_Toc43143197"/>
      <w:r>
        <w:rPr>
          <w:color w:val="000000" w:themeColor="text1"/>
          <w14:textFill>
            <w14:solidFill>
              <w14:schemeClr w14:val="tx1"/>
            </w14:solidFill>
          </w14:textFill>
        </w:rPr>
        <w:t>5.2.2预警级别</w:t>
      </w:r>
      <w:bookmarkEnd w:id="94"/>
      <w:bookmarkEnd w:id="95"/>
      <w:bookmarkEnd w:id="96"/>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尾矿库突发环境事件预警要与尾矿库生产安全事故预警有效衔接。可以从以下几个方面结合尾矿库实际情况考虑设置尾矿库突发环境事件预警发布条件和预警分级：</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（1）气象、国土等部门发布有极端天气发生或地质灾害预警时，可以根据气象和国土部门发布级别设置预警级别；</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（2）环境保护设施出现异常，造成或者可能造成尾矿水超标排放、尾矿砂扬散时，根据环境保护设施损坏程度和恢复正常需要的工作量设置预警级别；</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（3）特征污染物的浓度等超标时，根据超标倍数设置预警级别。如当超标倍数大于10倍以上的，预警级别为红色；超标倍数大于3倍小于10倍的，预警级别为橙色；超标倍数小于3倍的，预警级别为黄色；</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（4）发现重大环境安全隐患，至少设定橙色预警等级；</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（5）通过对尾矿输送管线的监控或检查，发现压力参数或管道状况发生异常时，根据损坏程度、恢复正常需要的工作量、泄漏量等设置预警级别；</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（6）通过对坝体的监控，发现安全生产指标、参数及状态等偏离正常值时，根据生产安全事故预警级别设置预警级别；</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（7）当尾矿库排洪设施，包括泄洪塔和排洪斜槽等功能出现异常时，根据生产安全事故预警级别设置预警级别；</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（8）发生其他生产安全事故或者生产安全事故可能次生突发环境事件时，根据初判生产安全事故等级确定预警级别；当分析可能对环境造成较大影响时，提高一个预警等级；</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（9）其他认为需要设置预警的情况。</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本示范项目中云南安宁泰源工贸集团有限公司景洪分公司</w:t>
      </w:r>
      <w:r>
        <w:rPr>
          <w:color w:val="000000" w:themeColor="text1"/>
          <w14:textFill>
            <w14:solidFill>
              <w14:schemeClr w14:val="tx1"/>
            </w14:solidFill>
          </w14:textFill>
        </w:rPr>
        <w:t>尾矿库</w:t>
      </w:r>
      <w:r>
        <w:rPr>
          <w:rFonts w:hint="eastAsia"/>
          <w:color w:val="000000" w:themeColor="text1"/>
          <w14:textFill>
            <w14:solidFill>
              <w14:schemeClr w14:val="tx1"/>
            </w14:solidFill>
          </w14:textFill>
        </w:rPr>
        <w:t>预警级别如下：</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尾矿库环境风险评估报告》，</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尾矿库环境风险等级为</w:t>
      </w:r>
      <w:r>
        <w:rPr>
          <w:rFonts w:hint="eastAsia"/>
          <w:color w:val="000000" w:themeColor="text1"/>
          <w14:textFill>
            <w14:solidFill>
              <w14:schemeClr w14:val="tx1"/>
            </w14:solidFill>
          </w14:textFill>
        </w:rPr>
        <w:t>“较大</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R3）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。根据事件的紧急程度、发展态势和可能造成的危害程度，本预案将预警分为四级，由低到高依次用蓝色、黄色、橙色和红色四个等级表示。</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蓝色预警</w:t>
      </w:r>
      <w:r>
        <w:rPr>
          <w:rFonts w:hint="eastAsia"/>
          <w:color w:val="000000" w:themeColor="text1"/>
          <w14:textFill>
            <w14:solidFill>
              <w14:schemeClr w14:val="tx1"/>
            </w14:solidFill>
          </w14:textFill>
        </w:rPr>
        <w:t>：当气象部门发布蓝色气象灾害预警；当</w:t>
      </w:r>
      <w:r>
        <w:rPr>
          <w:color w:val="000000" w:themeColor="text1"/>
          <w14:textFill>
            <w14:solidFill>
              <w14:schemeClr w14:val="tx1"/>
            </w14:solidFill>
          </w14:textFill>
        </w:rPr>
        <w:t>回水管线跑冒滴漏，尾矿库周边污染范围内的地表水、监测井水质常规因子和特征因子均未出现超标；</w:t>
      </w:r>
      <w:r>
        <w:rPr>
          <w:rFonts w:hint="eastAsia"/>
          <w:color w:val="000000" w:themeColor="text1"/>
          <w14:textFill>
            <w14:solidFill>
              <w14:schemeClr w14:val="tx1"/>
            </w14:solidFill>
          </w14:textFill>
        </w:rPr>
        <w:t>当集水池</w:t>
      </w:r>
      <w:r>
        <w:rPr>
          <w:color w:val="000000" w:themeColor="text1"/>
          <w14:textFill>
            <w14:solidFill>
              <w14:schemeClr w14:val="tx1"/>
            </w14:solidFill>
          </w14:textFill>
        </w:rPr>
        <w:t>水位超过总容积1/2，但未溢出；</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黄色预警</w:t>
      </w:r>
      <w:r>
        <w:rPr>
          <w:rFonts w:hint="eastAsia"/>
          <w:color w:val="000000" w:themeColor="text1"/>
          <w14:textFill>
            <w14:solidFill>
              <w14:schemeClr w14:val="tx1"/>
            </w14:solidFill>
          </w14:textFill>
        </w:rPr>
        <w:t>：当气象部门发布黄色气象灾害预警；</w:t>
      </w:r>
      <w:r>
        <w:rPr>
          <w:color w:val="000000" w:themeColor="text1"/>
          <w14:textFill>
            <w14:solidFill>
              <w14:schemeClr w14:val="tx1"/>
            </w14:solidFill>
          </w14:textFill>
        </w:rPr>
        <w:t>当尾矿输送管线出现轻微漏沙现象，或尾矿输送管线压力表显示在1~2Mpa，且泄漏点不在河床、村庄、农田、河滩等部位；当回水管线发生泄漏；</w:t>
      </w:r>
      <w:r>
        <w:rPr>
          <w:rFonts w:hint="eastAsia"/>
          <w:color w:val="000000" w:themeColor="text1"/>
          <w14:textFill>
            <w14:solidFill>
              <w14:schemeClr w14:val="tx1"/>
            </w14:solidFill>
          </w14:textFill>
        </w:rPr>
        <w:t>当</w:t>
      </w:r>
      <w:r>
        <w:rPr>
          <w:color w:val="000000" w:themeColor="text1"/>
          <w14:textFill>
            <w14:solidFill>
              <w14:schemeClr w14:val="tx1"/>
            </w14:solidFill>
          </w14:textFill>
        </w:rPr>
        <w:t>集水池内水位上升</w:t>
      </w:r>
      <w:r>
        <w:rPr>
          <w:rFonts w:hint="eastAsia"/>
          <w:color w:val="000000" w:themeColor="text1"/>
          <w14:textFill>
            <w14:solidFill>
              <w14:schemeClr w14:val="tx1"/>
            </w14:solidFill>
          </w14:textFill>
        </w:rPr>
        <w:t>速度</w:t>
      </w:r>
      <w:r>
        <w:rPr>
          <w:color w:val="000000" w:themeColor="text1"/>
          <w14:textFill>
            <w14:solidFill>
              <w14:schemeClr w14:val="tx1"/>
            </w14:solidFill>
          </w14:textFill>
        </w:rPr>
        <w:t>异常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库区周边山体出现小规模滑坡现象；当尾矿库周边污染范围内的地表水水质常规因子或特征因子至少有一项出现超标，超标倍数小于3倍，但监测井水质常规因子和特征因子均未出现超标；其它可能引发重大突发环境事件</w:t>
      </w:r>
      <w:r>
        <w:rPr>
          <w:rFonts w:hint="eastAsia"/>
          <w:color w:val="000000" w:themeColor="text1"/>
          <w14:textFill>
            <w14:solidFill>
              <w14:schemeClr w14:val="tx1"/>
            </w14:solidFill>
          </w14:textFill>
        </w:rPr>
        <w:t>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橙色预警</w:t>
      </w:r>
      <w:r>
        <w:rPr>
          <w:rFonts w:hint="eastAsia"/>
          <w:color w:val="000000" w:themeColor="text1"/>
          <w14:textFill>
            <w14:solidFill>
              <w14:schemeClr w14:val="tx1"/>
            </w14:solidFill>
          </w14:textFill>
        </w:rPr>
        <w:t>：气象部门发布橙色气象灾害预警；</w:t>
      </w:r>
      <w:r>
        <w:rPr>
          <w:color w:val="000000" w:themeColor="text1"/>
          <w14:textFill>
            <w14:solidFill>
              <w14:schemeClr w14:val="tx1"/>
            </w14:solidFill>
          </w14:textFill>
        </w:rPr>
        <w:t>当坝体发生破损、渗滤液发生渗漏；当尾矿输送管线泄漏，尾矿输送管线压力表显示在1~2MPa，且泄漏点位于河床、村庄、农田、河滩等部位；当尾矿库排洪系统发生严重堵塞或泄漏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当尾矿库周边污染范围内的地表水水质常规因子和特征因子至少有一项出现超标，造成水体污染，超标倍数大于3倍小于10倍；当坝体位移、坝体沉降监测出现明显变化</w:t>
      </w:r>
      <w:r>
        <w:rPr>
          <w:rFonts w:hint="eastAsia"/>
          <w:color w:val="000000" w:themeColor="text1"/>
          <w14:textFill>
            <w14:solidFill>
              <w14:schemeClr w14:val="tx1"/>
            </w14:solidFill>
          </w14:textFill>
        </w:rPr>
        <w:t>；当</w:t>
      </w:r>
      <w:r>
        <w:rPr>
          <w:color w:val="000000" w:themeColor="text1"/>
          <w14:textFill>
            <w14:solidFill>
              <w14:schemeClr w14:val="tx1"/>
            </w14:solidFill>
          </w14:textFill>
        </w:rPr>
        <w:t>集水池破损或集水池有积水溢出；其它可能引发重大（III级）或特别重大（II级）突发环境事件</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红色预警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当气象部门发布红色气象灾害预警；当尾矿输送管线泄漏，尾矿输送管线压力表显示在1MPa以下；当坝体出现裂缝，有渗滤液外溢，或直接出现垮坝、溃坝等事故；当尾矿库周边污染范围内的地表水或监测井水质常规因子和特征因子均出现超标，超标倍数大于10倍以上；其它可能引发重大（II级）或特别重大（I级）突发环境事件</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w:t>
      </w:r>
    </w:p>
    <w:p>
      <w:pPr>
        <w:pStyle w:val="18"/>
        <w:rPr>
          <w:color w:val="000000" w:themeColor="text1"/>
          <w14:textFill>
            <w14:solidFill>
              <w14:schemeClr w14:val="tx1"/>
            </w14:solidFill>
          </w14:textFill>
        </w:rPr>
      </w:pPr>
      <w:bookmarkStart w:id="97" w:name="_Toc17525"/>
      <w:bookmarkStart w:id="98" w:name="_Toc7074"/>
      <w:bookmarkStart w:id="99" w:name="_Toc43143198"/>
      <w:r>
        <w:rPr>
          <w:color w:val="000000" w:themeColor="text1"/>
          <w14:textFill>
            <w14:solidFill>
              <w14:schemeClr w14:val="tx1"/>
            </w14:solidFill>
          </w14:textFill>
        </w:rPr>
        <w:t>5.3预警信息汇总和发布</w:t>
      </w:r>
      <w:bookmarkEnd w:id="97"/>
      <w:bookmarkEnd w:id="98"/>
      <w:bookmarkEnd w:id="99"/>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预警监测人员、巡检人员、岗位当班人员等发现可能引发突发环境事件的事故、隐患或异常后，要立即逐级上报至尾矿库负责人、部门领导和应急指挥部等。应急指挥部应当立即进行核实，判断事件性质和类别，当符合预警发布条件时及时发布预警。当发现符合较高级别预警发布条件时，可以越级上报。</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（1）预警信息汇总</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预警信息汇总程序为：</w:t>
      </w:r>
      <w:r>
        <w:rPr>
          <w:rFonts w:hint="eastAsia"/>
          <w:color w:val="000000" w:themeColor="text1"/>
          <w14:textFill>
            <w14:solidFill>
              <w14:schemeClr w14:val="tx1"/>
            </w14:solidFill>
          </w14:textFill>
        </w:rPr>
        <w:t>尾矿库岗位当班人员/预警监测人员</w:t>
      </w:r>
      <w:r>
        <w:rPr>
          <w:color w:val="000000" w:themeColor="text1"/>
          <w14:textFill>
            <w14:solidFill>
              <w14:schemeClr w14:val="tx1"/>
            </w14:solidFill>
          </w14:textFill>
        </w:rPr>
        <w:t>—&gt;</w:t>
      </w:r>
      <w:r>
        <w:rPr>
          <w:rFonts w:hint="eastAsia"/>
          <w:color w:val="000000" w:themeColor="text1"/>
          <w14:textFill>
            <w14:solidFill>
              <w14:schemeClr w14:val="tx1"/>
            </w14:solidFill>
          </w14:textFill>
        </w:rPr>
        <w:t>应立即报告当班组长（蓝色预警信息终止汇报）</w:t>
      </w:r>
      <w:r>
        <w:rPr>
          <w:color w:val="000000" w:themeColor="text1"/>
          <w14:textFill>
            <w14:solidFill>
              <w14:schemeClr w14:val="tx1"/>
            </w14:solidFill>
          </w14:textFill>
        </w:rPr>
        <w:t>—&gt;</w:t>
      </w:r>
      <w:r>
        <w:rPr>
          <w:rFonts w:hint="eastAsia"/>
          <w:color w:val="000000" w:themeColor="text1"/>
          <w14:textFill>
            <w14:solidFill>
              <w14:schemeClr w14:val="tx1"/>
            </w14:solidFill>
          </w14:textFill>
        </w:rPr>
        <w:t>选厂厂长/部门领导（黄色预警信息终止汇报）</w:t>
      </w:r>
      <w:r>
        <w:rPr>
          <w:color w:val="000000" w:themeColor="text1"/>
          <w14:textFill>
            <w14:solidFill>
              <w14:schemeClr w14:val="tx1"/>
            </w14:solidFill>
          </w14:textFill>
        </w:rPr>
        <w:t>—&gt;</w:t>
      </w:r>
      <w:r>
        <w:rPr>
          <w:rFonts w:hint="eastAsia"/>
          <w:color w:val="000000" w:themeColor="text1"/>
          <w14:textFill>
            <w14:solidFill>
              <w14:schemeClr w14:val="tx1"/>
            </w14:solidFill>
          </w14:textFill>
        </w:rPr>
        <w:t>部门领导向公司应急管理部（响应中心）</w:t>
      </w:r>
      <w:r>
        <w:rPr>
          <w:color w:val="000000" w:themeColor="text1"/>
          <w14:textFill>
            <w14:solidFill>
              <w14:schemeClr w14:val="tx1"/>
            </w14:solidFill>
          </w14:textFill>
        </w:rPr>
        <w:t>—&gt;</w:t>
      </w:r>
      <w:r>
        <w:rPr>
          <w:rFonts w:hint="eastAsia"/>
          <w:color w:val="000000" w:themeColor="text1"/>
          <w14:textFill>
            <w14:solidFill>
              <w14:schemeClr w14:val="tx1"/>
            </w14:solidFill>
          </w14:textFill>
        </w:rPr>
        <w:t>公司应急救援指挥中心（橙色预警信息终止汇报）</w:t>
      </w:r>
      <w:r>
        <w:rPr>
          <w:color w:val="000000" w:themeColor="text1"/>
          <w14:textFill>
            <w14:solidFill>
              <w14:schemeClr w14:val="tx1"/>
            </w14:solidFill>
          </w14:textFill>
        </w:rPr>
        <w:t>—&gt;</w:t>
      </w:r>
      <w:r>
        <w:rPr>
          <w:rFonts w:hint="eastAsia"/>
          <w:color w:val="000000" w:themeColor="text1"/>
          <w14:textFill>
            <w14:solidFill>
              <w14:schemeClr w14:val="tx1"/>
            </w14:solidFill>
          </w14:textFill>
        </w:rPr>
        <w:t>红色预警信息报告至勐龙镇、景洪市生态环境部门。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当预警级别为蓝色，由尾矿库岗位当班人员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预警监测人员等发现可能引发突发环境事件的事故、隐患或异常情况，15分钟内上报当班组长；当预警级别为黄色，当班组长初步查清事态后在15分钟内报告选厂厂长；当预警级别为橙色及以上，选厂厂长立即报告调度室，调度室接到预警信息后，立即进行核实，判断事件的性质和类别，核实后30分钟内报告至</w:t>
      </w:r>
      <w:r>
        <w:rPr>
          <w:rFonts w:hint="eastAsia"/>
          <w:color w:val="000000" w:themeColor="text1"/>
          <w14:textFill>
            <w14:solidFill>
              <w14:schemeClr w14:val="tx1"/>
            </w14:solidFill>
          </w14:textFill>
        </w:rPr>
        <w:t>突发事故应急救援总指挥部</w:t>
      </w:r>
      <w:r>
        <w:rPr>
          <w:color w:val="000000" w:themeColor="text1"/>
          <w14:textFill>
            <w14:solidFill>
              <w14:schemeClr w14:val="tx1"/>
            </w14:solidFill>
          </w14:textFill>
        </w:rPr>
        <w:t>；当预警级别为红色，由</w:t>
      </w:r>
      <w:r>
        <w:rPr>
          <w:rFonts w:hint="eastAsia"/>
          <w:color w:val="000000" w:themeColor="text1"/>
          <w14:textFill>
            <w14:solidFill>
              <w14:schemeClr w14:val="tx1"/>
            </w14:solidFill>
          </w14:textFill>
        </w:rPr>
        <w:t>突发事故应急救援总指挥部</w:t>
      </w:r>
      <w:r>
        <w:rPr>
          <w:color w:val="000000" w:themeColor="text1"/>
          <w14:textFill>
            <w14:solidFill>
              <w14:schemeClr w14:val="tx1"/>
            </w14:solidFill>
          </w14:textFill>
        </w:rPr>
        <w:t>在30分钟内报告至集团公司</w:t>
      </w:r>
      <w:r>
        <w:rPr>
          <w:rFonts w:hint="eastAsia"/>
          <w:color w:val="000000" w:themeColor="text1"/>
          <w14:textFill>
            <w14:solidFill>
              <w14:schemeClr w14:val="tx1"/>
            </w14:solidFill>
          </w14:textFill>
        </w:rPr>
        <w:t>以及县（区）、州（市）生态环境部门</w:t>
      </w:r>
      <w:r>
        <w:rPr>
          <w:color w:val="000000" w:themeColor="text1"/>
          <w14:textFill>
            <w14:solidFill>
              <w14:schemeClr w14:val="tx1"/>
            </w14:solidFill>
          </w14:textFill>
        </w:rPr>
        <w:t>。当预警级别为橙色及以上时，可越级直接上报</w:t>
      </w:r>
      <w:r>
        <w:rPr>
          <w:rFonts w:hint="eastAsia"/>
          <w:color w:val="000000" w:themeColor="text1"/>
          <w14:textFill>
            <w14:solidFill>
              <w14:schemeClr w14:val="tx1"/>
            </w14:solidFill>
          </w14:textFill>
        </w:rPr>
        <w:t>公司应急救援总指挥部</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预警信息发布</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当班组长发布蓝色预警信息；选厂厂长发布黄色预警信息；公司总经理发布橙色及以上预警信息。</w:t>
      </w:r>
      <w:r>
        <w:rPr>
          <w:rFonts w:hint="eastAsia"/>
          <w:color w:val="000000" w:themeColor="text1"/>
          <w14:textFill>
            <w14:solidFill>
              <w14:schemeClr w14:val="tx1"/>
            </w14:solidFill>
          </w14:textFill>
        </w:rPr>
        <w:t>预警信息包括事件的类别、发生的时间、可能涉及范围、可能危害程度、可能延续时间、提醒事宜和应采取的相应措施等。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突发环境事件报警方式采用应急值班电话报警，由应急救援指挥部根据事态情况通过通讯系统向公司内部发布事故信息，做出紧急应急措施。需要向社会和周边发布警报时，由指挥部人员向政府以及周边单位发送警报消息。事态严重紧急时，通过指挥部直接联系政府及周边单位负责人，由总指挥亲自向政府或周边单位负责人发布消息，提出要求组织撤离疏散或者请求援助，随时保持电话联系。电话通知内容必须清楚、简明。注意内容包括：</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①通报人姓名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②污染事故发生时间、地点、现场情况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③污染事故的简要经过、初步原因、严重程度</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④处置措施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⑤信息报告人员的联系方式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⑥其他事项</w:t>
      </w:r>
    </w:p>
    <w:p>
      <w:pPr>
        <w:pStyle w:val="18"/>
        <w:rPr>
          <w:color w:val="000000" w:themeColor="text1"/>
          <w14:textFill>
            <w14:solidFill>
              <w14:schemeClr w14:val="tx1"/>
            </w14:solidFill>
          </w14:textFill>
        </w:rPr>
      </w:pPr>
      <w:bookmarkStart w:id="100" w:name="_Toc43143199"/>
      <w:bookmarkStart w:id="101" w:name="_Toc26683"/>
      <w:bookmarkStart w:id="102" w:name="_Toc477273034"/>
      <w:r>
        <w:rPr>
          <w:color w:val="000000" w:themeColor="text1"/>
          <w14:textFill>
            <w14:solidFill>
              <w14:schemeClr w14:val="tx1"/>
            </w14:solidFill>
          </w14:textFill>
        </w:rPr>
        <w:t>5.</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预警结束</w:t>
      </w:r>
      <w:bookmarkEnd w:id="100"/>
      <w:bookmarkEnd w:id="101"/>
      <w:bookmarkEnd w:id="102"/>
    </w:p>
    <w:p>
      <w:pPr>
        <w:ind w:firstLine="560"/>
        <w:rPr>
          <w:color w:val="000000" w:themeColor="text1"/>
          <w14:textFill>
            <w14:solidFill>
              <w14:schemeClr w14:val="tx1"/>
            </w14:solidFill>
          </w14:textFill>
        </w:rPr>
      </w:pPr>
      <w:r>
        <w:rPr>
          <w:color w:val="000000" w:themeColor="text1"/>
          <w14:textFill>
            <w14:solidFill>
              <w14:schemeClr w14:val="tx1"/>
            </w14:solidFill>
          </w14:textFill>
        </w:rPr>
        <w:t>当确认环境污染得到消除，事态得到有效控制，矛盾得到调解后，由应急领导小组组长或其授权人宣布预警结束。</w:t>
      </w:r>
    </w:p>
    <w:p>
      <w:pPr>
        <w:pStyle w:val="30"/>
        <w:ind w:left="560" w:firstLine="560"/>
        <w:rPr>
          <w:rFonts w:cs="Times New Roman"/>
          <w:color w:val="000000" w:themeColor="text1"/>
          <w14:textFill>
            <w14:solidFill>
              <w14:schemeClr w14:val="tx1"/>
            </w14:solidFill>
          </w14:textFill>
        </w:rPr>
      </w:pPr>
    </w:p>
    <w:p>
      <w:pPr>
        <w:pStyle w:val="17"/>
        <w:spacing w:line="240" w:lineRule="auto"/>
        <w:rPr>
          <w:rFonts w:ascii="Times New Roman" w:eastAsia="楷体_GB2312" w:cs="Times New Roman"/>
          <w:color w:val="000000" w:themeColor="text1"/>
          <w:sz w:val="44"/>
          <w14:textFill>
            <w14:solidFill>
              <w14:schemeClr w14:val="tx1"/>
            </w14:solidFill>
          </w14:textFill>
        </w:rPr>
      </w:pPr>
      <w:bookmarkStart w:id="103" w:name="_Toc10670"/>
      <w:r>
        <w:rPr>
          <w:rFonts w:hAnsi="Calibri"/>
          <w:color w:val="000000" w:themeColor="text1"/>
          <w14:textFill>
            <w14:solidFill>
              <w14:schemeClr w14:val="tx1"/>
            </w14:solidFill>
          </w14:textFill>
        </w:rPr>
        <w:br w:type="page"/>
      </w:r>
      <w:bookmarkStart w:id="104" w:name="_Toc12492"/>
      <w:bookmarkStart w:id="105" w:name="_Toc43143200"/>
      <w:r>
        <w:rPr>
          <w:rFonts w:ascii="Times New Roman" w:eastAsia="楷体_GB2312" w:cs="Times New Roman"/>
          <w:color w:val="000000" w:themeColor="text1"/>
          <w:szCs w:val="15"/>
          <w14:textFill>
            <w14:solidFill>
              <w14:schemeClr w14:val="tx1"/>
            </w14:solidFill>
          </w14:textFill>
        </w:rPr>
        <w:t>6应急处置</w:t>
      </w:r>
      <w:bookmarkEnd w:id="103"/>
      <w:bookmarkEnd w:id="104"/>
      <w:bookmarkEnd w:id="105"/>
    </w:p>
    <w:p>
      <w:pPr>
        <w:pStyle w:val="18"/>
        <w:rPr>
          <w:color w:val="000000" w:themeColor="text1"/>
          <w14:textFill>
            <w14:solidFill>
              <w14:schemeClr w14:val="tx1"/>
            </w14:solidFill>
          </w14:textFill>
        </w:rPr>
      </w:pPr>
      <w:bookmarkStart w:id="106" w:name="_Toc7646"/>
      <w:bookmarkStart w:id="107" w:name="_Toc43143201"/>
      <w:bookmarkStart w:id="108" w:name="_Toc5971"/>
      <w:r>
        <w:rPr>
          <w:color w:val="000000" w:themeColor="text1"/>
          <w14:textFill>
            <w14:solidFill>
              <w14:schemeClr w14:val="tx1"/>
            </w14:solidFill>
          </w14:textFill>
        </w:rPr>
        <w:t>6.1应急响应分级</w:t>
      </w:r>
      <w:bookmarkEnd w:id="106"/>
      <w:bookmarkEnd w:id="107"/>
      <w:bookmarkEnd w:id="108"/>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尾矿库突发环境事件的危害程度、影响范围、周边环境敏感点状况、企业应急能力等，结合风险评估报告结论，本预案将应急响应级别分为四级。</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四级响应：发布蓝色预警同时启动四级应急响应，组织尾矿库工作人员进行现场处置，迅速查明情况，指示相关工作岗位人员，按照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6.4处置方案</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开展应急处置行动，组织人员排查修补尾矿输送管线，检修水泵。并指示巡查人员加大对坝体、排洪设施、输送回水系统等巡查频次，并及时将巡查情况报应急指挥部汇；清点应急救援所需物资、装备等，确保其可投入正常使用；必要时做好信息报告和通报的准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三级响应：发布黄色预警同时启动三级应急响应，组织应急专家迅速查明情况，指示相关工作岗位人员，按照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6.4处置方案</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开展应急处置救援行动。并指示巡查人员加大对坝体、排洪设施、输送回水系统等巡查频次，并及时将巡查情况报应急指挥部汇总；加强特征污染物环境监测；责令专兼职的应急处置救援队伍、负责环境应急工作的部门和人员进入待命状态，做好参加应急处置和救援工作的准备；清点应急救援所需物资、装备等，确保其可投入正常使用；必要时做好信息报告和通报的准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二级响应：发布橙色预警同时启动二级应急响应，调动</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全部能力，按照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6.4处置方案</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开展应急处置救援行动。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一级响应：发布红色预警同时启动一级应急响应，调动</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全部能力，同时请求当地</w:t>
      </w:r>
      <w:r>
        <w:rPr>
          <w:rFonts w:hint="eastAsia"/>
          <w:color w:val="000000" w:themeColor="text1"/>
          <w14:textFill>
            <w14:solidFill>
              <w14:schemeClr w14:val="tx1"/>
            </w14:solidFill>
          </w14:textFill>
        </w:rPr>
        <w:t>人民</w:t>
      </w:r>
      <w:r>
        <w:rPr>
          <w:color w:val="000000" w:themeColor="text1"/>
          <w14:textFill>
            <w14:solidFill>
              <w14:schemeClr w14:val="tx1"/>
            </w14:solidFill>
          </w14:textFill>
        </w:rPr>
        <w:t>政府应急救援部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周边专业应急救援队伍或具有应急处置能力的单位或组织予以帮助，同时将指挥权移交当地</w:t>
      </w:r>
      <w:r>
        <w:rPr>
          <w:rFonts w:hint="eastAsia"/>
          <w:color w:val="000000" w:themeColor="text1"/>
          <w14:textFill>
            <w14:solidFill>
              <w14:schemeClr w14:val="tx1"/>
            </w14:solidFill>
          </w14:textFill>
        </w:rPr>
        <w:t>人民</w:t>
      </w:r>
      <w:r>
        <w:rPr>
          <w:color w:val="000000" w:themeColor="text1"/>
          <w14:textFill>
            <w14:solidFill>
              <w14:schemeClr w14:val="tx1"/>
            </w14:solidFill>
          </w14:textFill>
        </w:rPr>
        <w:t>政府应急指挥部，开展应急处置救援行动。应急响应工作详见表6.1-1。</w:t>
      </w:r>
    </w:p>
    <w:p>
      <w:pPr>
        <w:pStyle w:val="38"/>
        <w:spacing w:after="190"/>
        <w:rPr>
          <w:rFonts w:cs="Times New Roman"/>
          <w:color w:val="000000" w:themeColor="text1"/>
          <w:sz w:val="24"/>
          <w:szCs w:val="18"/>
          <w14:textFill>
            <w14:solidFill>
              <w14:schemeClr w14:val="tx1"/>
            </w14:solidFill>
          </w14:textFill>
        </w:rPr>
      </w:pPr>
      <w:r>
        <w:rPr>
          <w:rFonts w:cs="Times New Roman"/>
          <w:color w:val="000000" w:themeColor="text1"/>
          <w:sz w:val="24"/>
          <w:szCs w:val="18"/>
          <w14:textFill>
            <w14:solidFill>
              <w14:schemeClr w14:val="tx1"/>
            </w14:solidFill>
          </w14:textFill>
        </w:rPr>
        <w:t>表6.1-1应急响应工作一览表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481"/>
        <w:gridCol w:w="889"/>
        <w:gridCol w:w="5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tabs>
                <w:tab w:val="right" w:leader="dot" w:pos="8296"/>
              </w:tabs>
              <w:snapToGrid w:val="0"/>
              <w:ind w:firstLine="0" w:firstLineChars="0"/>
              <w:jc w:val="center"/>
              <w:rPr>
                <w:rFonts w:cs="Times New Roman"/>
                <w:b/>
                <w:bCs/>
                <w:color w:val="000000" w:themeColor="text1"/>
                <w:kern w:val="2"/>
                <w:sz w:val="24"/>
                <w14:textFill>
                  <w14:solidFill>
                    <w14:schemeClr w14:val="tx1"/>
                  </w14:solidFill>
                </w14:textFill>
              </w:rPr>
            </w:pPr>
            <w:r>
              <w:rPr>
                <w:rFonts w:cs="Times New Roman"/>
                <w:b/>
                <w:bCs/>
                <w:color w:val="000000" w:themeColor="text1"/>
                <w:kern w:val="2"/>
                <w:sz w:val="24"/>
                <w14:textFill>
                  <w14:solidFill>
                    <w14:schemeClr w14:val="tx1"/>
                  </w14:solidFill>
                </w14:textFill>
              </w:rPr>
              <w:t>预警级别</w:t>
            </w:r>
          </w:p>
        </w:tc>
        <w:tc>
          <w:tcPr>
            <w:tcW w:w="1481" w:type="dxa"/>
            <w:vAlign w:val="center"/>
          </w:tcPr>
          <w:p>
            <w:pPr>
              <w:tabs>
                <w:tab w:val="right" w:leader="dot" w:pos="8296"/>
              </w:tabs>
              <w:snapToGrid w:val="0"/>
              <w:ind w:firstLine="0" w:firstLineChars="0"/>
              <w:jc w:val="center"/>
              <w:rPr>
                <w:rFonts w:cs="Times New Roman"/>
                <w:b/>
                <w:bCs/>
                <w:color w:val="000000" w:themeColor="text1"/>
                <w:kern w:val="2"/>
                <w:sz w:val="24"/>
                <w14:textFill>
                  <w14:solidFill>
                    <w14:schemeClr w14:val="tx1"/>
                  </w14:solidFill>
                </w14:textFill>
              </w:rPr>
            </w:pPr>
            <w:r>
              <w:rPr>
                <w:rFonts w:cs="Times New Roman"/>
                <w:b/>
                <w:bCs/>
                <w:color w:val="000000" w:themeColor="text1"/>
                <w:kern w:val="2"/>
                <w:sz w:val="24"/>
                <w14:textFill>
                  <w14:solidFill>
                    <w14:schemeClr w14:val="tx1"/>
                  </w14:solidFill>
                </w14:textFill>
              </w:rPr>
              <w:t>相应级别</w:t>
            </w:r>
          </w:p>
        </w:tc>
        <w:tc>
          <w:tcPr>
            <w:tcW w:w="889" w:type="dxa"/>
            <w:vAlign w:val="center"/>
          </w:tcPr>
          <w:p>
            <w:pPr>
              <w:tabs>
                <w:tab w:val="right" w:leader="dot" w:pos="8296"/>
              </w:tabs>
              <w:snapToGrid w:val="0"/>
              <w:ind w:firstLine="0" w:firstLineChars="0"/>
              <w:jc w:val="center"/>
              <w:rPr>
                <w:rFonts w:cs="Times New Roman"/>
                <w:b/>
                <w:bCs/>
                <w:color w:val="000000" w:themeColor="text1"/>
                <w:kern w:val="2"/>
                <w:sz w:val="24"/>
                <w14:textFill>
                  <w14:solidFill>
                    <w14:schemeClr w14:val="tx1"/>
                  </w14:solidFill>
                </w14:textFill>
              </w:rPr>
            </w:pPr>
            <w:r>
              <w:rPr>
                <w:rFonts w:cs="Times New Roman"/>
                <w:b/>
                <w:bCs/>
                <w:color w:val="000000" w:themeColor="text1"/>
                <w:kern w:val="2"/>
                <w:sz w:val="24"/>
                <w14:textFill>
                  <w14:solidFill>
                    <w14:schemeClr w14:val="tx1"/>
                  </w14:solidFill>
                </w14:textFill>
              </w:rPr>
              <w:t>负责人</w:t>
            </w:r>
          </w:p>
        </w:tc>
        <w:tc>
          <w:tcPr>
            <w:tcW w:w="5834" w:type="dxa"/>
            <w:vAlign w:val="center"/>
          </w:tcPr>
          <w:p>
            <w:pPr>
              <w:tabs>
                <w:tab w:val="right" w:leader="dot" w:pos="8296"/>
              </w:tabs>
              <w:snapToGrid w:val="0"/>
              <w:ind w:firstLine="0" w:firstLineChars="0"/>
              <w:jc w:val="center"/>
              <w:rPr>
                <w:rFonts w:cs="Times New Roman"/>
                <w:b/>
                <w:bCs/>
                <w:color w:val="000000" w:themeColor="text1"/>
                <w:kern w:val="2"/>
                <w:sz w:val="24"/>
                <w14:textFill>
                  <w14:solidFill>
                    <w14:schemeClr w14:val="tx1"/>
                  </w14:solidFill>
                </w14:textFill>
              </w:rPr>
            </w:pPr>
            <w:r>
              <w:rPr>
                <w:rFonts w:cs="Times New Roman"/>
                <w:b/>
                <w:bCs/>
                <w:color w:val="000000" w:themeColor="text1"/>
                <w:kern w:val="2"/>
                <w:sz w:val="24"/>
                <w14:textFill>
                  <w14:solidFill>
                    <w14:schemeClr w14:val="tx1"/>
                  </w14:solidFill>
                </w14:textFill>
              </w:rPr>
              <w:t>响应措施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蓝色</w:t>
            </w:r>
          </w:p>
        </w:tc>
        <w:tc>
          <w:tcPr>
            <w:tcW w:w="1481"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四级</w:t>
            </w:r>
          </w:p>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尾矿库当班组长</w:t>
            </w: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组织尾矿库工作人员进行现场处置。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组织人员排查修补尾矿浆输送管线及回水管线，泄漏点管线进行包扎处理，并将泄漏尾矿浆转移至应急事故池。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组织人员检修水泵。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安排尾矿工加大对回水管线、高位水池、沉淀池、事故池、集水池等巡查频次，并及时将巡查情况报当班组长汇总。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黄色</w:t>
            </w:r>
          </w:p>
        </w:tc>
        <w:tc>
          <w:tcPr>
            <w:tcW w:w="1481"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三级</w:t>
            </w:r>
          </w:p>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选厂厂长</w:t>
            </w: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停止尾矿浆及回水输送，组织选厂及尾矿库工作人员进行现场处置。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组织人员排查尾矿浆输送管线及回水管线，泄漏点管线进行包扎处理，并将泄漏尾矿浆及回水转移至应急事故池。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准备好备用水泵，集水池水位达到超高水位警戒要求时立即开启水泵，将尾矿水抽回尾矿库或选矿厂高位水池。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安排尾矿工加大对回水管线、尾矿输送管线、高位水池、集水池等巡查频次，及时将巡查情况报选厂厂长汇总。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hint="eastAsia" w:cs="Times New Roman"/>
                <w:color w:val="000000" w:themeColor="text1"/>
                <w:kern w:val="2"/>
                <w:sz w:val="24"/>
                <w14:textFill>
                  <w14:solidFill>
                    <w14:schemeClr w14:val="tx1"/>
                  </w14:solidFill>
                </w14:textFill>
              </w:rPr>
              <w:t>在发生环境污染事故时，</w:t>
            </w:r>
            <w:r>
              <w:rPr>
                <w:rFonts w:cs="Times New Roman"/>
                <w:color w:val="000000" w:themeColor="text1"/>
                <w:kern w:val="2"/>
                <w:sz w:val="24"/>
                <w14:textFill>
                  <w14:solidFill>
                    <w14:schemeClr w14:val="tx1"/>
                  </w14:solidFill>
                </w14:textFill>
              </w:rPr>
              <w:t>应</w:t>
            </w:r>
            <w:r>
              <w:rPr>
                <w:rFonts w:hint="eastAsia" w:cs="Times New Roman"/>
                <w:color w:val="000000" w:themeColor="text1"/>
                <w:kern w:val="2"/>
                <w:sz w:val="24"/>
                <w14:textFill>
                  <w14:solidFill>
                    <w14:schemeClr w14:val="tx1"/>
                  </w14:solidFill>
                </w14:textFill>
              </w:rPr>
              <w:t>立即</w:t>
            </w:r>
            <w:r>
              <w:rPr>
                <w:rFonts w:cs="Times New Roman"/>
                <w:color w:val="000000" w:themeColor="text1"/>
                <w:kern w:val="2"/>
                <w:sz w:val="24"/>
                <w14:textFill>
                  <w14:solidFill>
                    <w14:schemeClr w14:val="tx1"/>
                  </w14:solidFill>
                </w14:textFill>
              </w:rPr>
              <w:t>安排化验室人员对地下水</w:t>
            </w:r>
            <w:r>
              <w:rPr>
                <w:rFonts w:hint="eastAsia" w:cs="Times New Roman"/>
                <w:color w:val="000000" w:themeColor="text1"/>
                <w:kern w:val="2"/>
                <w:sz w:val="24"/>
                <w14:textFill>
                  <w14:solidFill>
                    <w14:schemeClr w14:val="tx1"/>
                  </w14:solidFill>
                </w14:textFill>
              </w:rPr>
              <w:t>、南坎河</w:t>
            </w:r>
            <w:r>
              <w:rPr>
                <w:rFonts w:cs="Times New Roman"/>
                <w:color w:val="000000" w:themeColor="text1"/>
                <w:kern w:val="2"/>
                <w:sz w:val="24"/>
                <w14:textFill>
                  <w14:solidFill>
                    <w14:schemeClr w14:val="tx1"/>
                  </w14:solidFill>
                </w14:textFill>
              </w:rPr>
              <w:t>水质进行跟踪监测，及时将监测情况报选厂厂长汇总。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hint="eastAsia" w:cs="Times New Roman"/>
                <w:color w:val="000000" w:themeColor="text1"/>
                <w:kern w:val="2"/>
                <w:sz w:val="24"/>
                <w14:textFill>
                  <w14:solidFill>
                    <w14:schemeClr w14:val="tx1"/>
                  </w14:solidFill>
                </w14:textFill>
              </w:rPr>
              <w:t>对受污水体投加药剂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责令专兼职的应急处置救援队伍、负责环境应急工作的部门和人员进入待命状态，清点救援物资，做好参加应急处置和救援工作的准备。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橙色</w:t>
            </w:r>
          </w:p>
        </w:tc>
        <w:tc>
          <w:tcPr>
            <w:tcW w:w="1481"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二级</w:t>
            </w:r>
          </w:p>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应急指挥部总指挥</w:t>
            </w: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选厂停产、停水，组织公司应急工作组进行现场先期处置。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安排尾矿工加大对坝体、回水管线、尾矿输送管线、高位水池、沉淀池、集水池等巡查频次，及时将巡查情况报调度室汇总，由调度室上报应急指挥部总指挥。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组织人员对坝体破损部位进行处理，并及时通知当地</w:t>
            </w:r>
            <w:r>
              <w:rPr>
                <w:rFonts w:hint="eastAsia" w:cs="Times New Roman"/>
                <w:color w:val="000000" w:themeColor="text1"/>
                <w:kern w:val="2"/>
                <w:sz w:val="24"/>
                <w14:textFill>
                  <w14:solidFill>
                    <w14:schemeClr w14:val="tx1"/>
                  </w14:solidFill>
                </w14:textFill>
              </w:rPr>
              <w:t>人民</w:t>
            </w:r>
            <w:r>
              <w:rPr>
                <w:rFonts w:cs="Times New Roman"/>
                <w:color w:val="000000" w:themeColor="text1"/>
                <w:kern w:val="2"/>
                <w:sz w:val="24"/>
                <w14:textFill>
                  <w14:solidFill>
                    <w14:schemeClr w14:val="tx1"/>
                  </w14:solidFill>
                </w14:textFill>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对坝体出现的拉沟、裂缝及时回填压实。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组织人员抢修破损管道，并将泄漏尾矿浆及回水转移至应急事故池。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及时启动应急泵，将集水池积水抽回尾矿库或选矿厂高位水池。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启动事故池应急砂泵，尽快将事故池尾砂打回系统。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随时关注气象预报信息。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hint="eastAsia" w:cs="Times New Roman"/>
                <w:color w:val="000000" w:themeColor="text1"/>
                <w:kern w:val="2"/>
                <w:sz w:val="24"/>
                <w14:textFill>
                  <w14:solidFill>
                    <w14:schemeClr w14:val="tx1"/>
                  </w14:solidFill>
                </w14:textFill>
              </w:rPr>
              <w:t>当发生环境污染事故时</w:t>
            </w:r>
            <w:r>
              <w:rPr>
                <w:rFonts w:cs="Times New Roman"/>
                <w:color w:val="000000" w:themeColor="text1"/>
                <w:kern w:val="2"/>
                <w:sz w:val="24"/>
                <w14:textFill>
                  <w14:solidFill>
                    <w14:schemeClr w14:val="tx1"/>
                  </w14:solidFill>
                </w14:textFill>
              </w:rPr>
              <w:t>，应</w:t>
            </w:r>
            <w:r>
              <w:rPr>
                <w:rFonts w:hint="eastAsia" w:cs="Times New Roman"/>
                <w:color w:val="000000" w:themeColor="text1"/>
                <w:kern w:val="2"/>
                <w:sz w:val="24"/>
                <w14:textFill>
                  <w14:solidFill>
                    <w14:schemeClr w14:val="tx1"/>
                  </w14:solidFill>
                </w14:textFill>
              </w:rPr>
              <w:t>立即</w:t>
            </w:r>
            <w:r>
              <w:rPr>
                <w:rFonts w:cs="Times New Roman"/>
                <w:color w:val="000000" w:themeColor="text1"/>
                <w:kern w:val="2"/>
                <w:sz w:val="24"/>
                <w14:textFill>
                  <w14:solidFill>
                    <w14:schemeClr w14:val="tx1"/>
                  </w14:solidFill>
                </w14:textFill>
              </w:rPr>
              <w:t>安排化验室人员对地下水</w:t>
            </w:r>
            <w:r>
              <w:rPr>
                <w:rFonts w:hint="eastAsia" w:cs="Times New Roman"/>
                <w:color w:val="000000" w:themeColor="text1"/>
                <w:kern w:val="2"/>
                <w:sz w:val="24"/>
                <w14:textFill>
                  <w14:solidFill>
                    <w14:schemeClr w14:val="tx1"/>
                  </w14:solidFill>
                </w14:textFill>
              </w:rPr>
              <w:t>、南坎河</w:t>
            </w:r>
            <w:r>
              <w:rPr>
                <w:rFonts w:cs="Times New Roman"/>
                <w:color w:val="000000" w:themeColor="text1"/>
                <w:kern w:val="2"/>
                <w:sz w:val="24"/>
                <w14:textFill>
                  <w14:solidFill>
                    <w14:schemeClr w14:val="tx1"/>
                  </w14:solidFill>
                </w14:textFill>
              </w:rPr>
              <w:t>水质进行跟踪监测，</w:t>
            </w:r>
            <w:r>
              <w:rPr>
                <w:rFonts w:hint="eastAsia" w:cs="Times New Roman"/>
                <w:color w:val="000000" w:themeColor="text1"/>
                <w:kern w:val="2"/>
                <w:sz w:val="24"/>
                <w14:textFill>
                  <w14:solidFill>
                    <w14:schemeClr w14:val="tx1"/>
                  </w14:solidFill>
                </w14:textFill>
              </w:rPr>
              <w:t>并</w:t>
            </w:r>
            <w:r>
              <w:rPr>
                <w:rFonts w:cs="Times New Roman"/>
                <w:color w:val="000000" w:themeColor="text1"/>
                <w:kern w:val="2"/>
                <w:sz w:val="24"/>
                <w14:textFill>
                  <w14:solidFill>
                    <w14:schemeClr w14:val="tx1"/>
                  </w14:solidFill>
                </w14:textFill>
              </w:rPr>
              <w:t>及时将监测情况报选厂厂长汇总</w:t>
            </w:r>
            <w:r>
              <w:rPr>
                <w:rFonts w:hint="eastAsia" w:cs="Times New Roman"/>
                <w:color w:val="000000" w:themeColor="text1"/>
                <w:kern w:val="2"/>
                <w:sz w:val="24"/>
                <w14:textFill>
                  <w14:solidFill>
                    <w14:schemeClr w14:val="tx1"/>
                  </w14:solidFill>
                </w14:textFill>
              </w:rPr>
              <w:t>，</w:t>
            </w:r>
            <w:r>
              <w:rPr>
                <w:rFonts w:cs="Times New Roman"/>
                <w:color w:val="000000" w:themeColor="text1"/>
                <w:kern w:val="2"/>
                <w:sz w:val="24"/>
                <w14:textFill>
                  <w14:solidFill>
                    <w14:schemeClr w14:val="tx1"/>
                  </w14:solidFill>
                </w14:textFill>
              </w:rPr>
              <w:t>由调度室上报应急指挥部总指挥。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对受污染水体投加药剂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红色</w:t>
            </w:r>
          </w:p>
        </w:tc>
        <w:tc>
          <w:tcPr>
            <w:tcW w:w="1481"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一级</w:t>
            </w:r>
          </w:p>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restart"/>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应急指挥部总指挥</w:t>
            </w: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选厂停产、停水，组织公司应急工作组进行现场先期处置。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立即上报</w:t>
            </w:r>
            <w:r>
              <w:rPr>
                <w:rFonts w:hint="eastAsia" w:cs="Times New Roman"/>
                <w:color w:val="000000" w:themeColor="text1"/>
                <w:kern w:val="2"/>
                <w:sz w:val="24"/>
                <w14:textFill>
                  <w14:solidFill>
                    <w14:schemeClr w14:val="tx1"/>
                  </w14:solidFill>
                </w14:textFill>
              </w:rPr>
              <w:t>景洪市</w:t>
            </w:r>
            <w:r>
              <w:rPr>
                <w:rFonts w:cs="Times New Roman"/>
                <w:color w:val="000000" w:themeColor="text1"/>
                <w:kern w:val="2"/>
                <w:sz w:val="24"/>
                <w14:textFill>
                  <w14:solidFill>
                    <w14:schemeClr w14:val="tx1"/>
                  </w14:solidFill>
                </w14:textFill>
              </w:rPr>
              <w:t>生态环境局应急办和</w:t>
            </w:r>
            <w:r>
              <w:rPr>
                <w:rFonts w:hint="eastAsia" w:cs="Times New Roman"/>
                <w:color w:val="000000" w:themeColor="text1"/>
                <w:kern w:val="2"/>
                <w:sz w:val="24"/>
                <w14:textFill>
                  <w14:solidFill>
                    <w14:schemeClr w14:val="tx1"/>
                  </w14:solidFill>
                </w14:textFill>
              </w:rPr>
              <w:t>景洪市</w:t>
            </w:r>
            <w:r>
              <w:rPr>
                <w:rFonts w:cs="Times New Roman"/>
                <w:color w:val="000000" w:themeColor="text1"/>
                <w:kern w:val="2"/>
                <w:sz w:val="24"/>
                <w14:textFill>
                  <w14:solidFill>
                    <w14:schemeClr w14:val="tx1"/>
                  </w14:solidFill>
                </w14:textFill>
              </w:rPr>
              <w:t>人民政府应急办，并通报周边村庄、</w:t>
            </w:r>
            <w:r>
              <w:rPr>
                <w:rFonts w:hint="eastAsia" w:cs="Times New Roman"/>
                <w:color w:val="000000" w:themeColor="text1"/>
                <w:kern w:val="2"/>
                <w:sz w:val="24"/>
                <w14:textFill>
                  <w14:solidFill>
                    <w14:schemeClr w14:val="tx1"/>
                  </w14:solidFill>
                </w14:textFill>
              </w:rPr>
              <w:t>云南安宁泰源工贸集团有限公司景洪分公司</w:t>
            </w:r>
            <w:r>
              <w:rPr>
                <w:rFonts w:cs="Times New Roman"/>
                <w:color w:val="000000" w:themeColor="text1"/>
                <w:kern w:val="2"/>
                <w:sz w:val="24"/>
                <w14:textFill>
                  <w14:solidFill>
                    <w14:schemeClr w14:val="tx1"/>
                  </w14:solidFill>
                </w14:textFill>
              </w:rPr>
              <w:t>选矿厂</w:t>
            </w:r>
            <w:r>
              <w:rPr>
                <w:rFonts w:hint="eastAsia" w:cs="Times New Roman"/>
                <w:color w:val="000000" w:themeColor="text1"/>
                <w:kern w:val="2"/>
                <w:sz w:val="24"/>
                <w14:textFill>
                  <w14:solidFill>
                    <w14:schemeClr w14:val="tx1"/>
                  </w14:solidFill>
                </w14:textFill>
              </w:rPr>
              <w:t>，曼南坎铁矿矿区</w:t>
            </w:r>
            <w:r>
              <w:rPr>
                <w:rFonts w:cs="Times New Roman"/>
                <w:color w:val="000000" w:themeColor="text1"/>
                <w:kern w:val="2"/>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安排协调员负责应急处置过程的协调工作。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组织人员抢修破损管道，并将泄漏尾矿浆及回水转移至应急事故池。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调动全公司能力对坝体裂缝进行填补处理。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调动全公司能力对坝体垮塌部位进行压填处理。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组织人员撤离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随时关注气象预报信息。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在发生环境污染事故时，</w:t>
            </w:r>
            <w:r>
              <w:rPr>
                <w:rFonts w:hint="eastAsia" w:cs="Times New Roman"/>
                <w:color w:val="000000" w:themeColor="text1"/>
                <w:kern w:val="2"/>
                <w:sz w:val="24"/>
                <w14:textFill>
                  <w14:solidFill>
                    <w14:schemeClr w14:val="tx1"/>
                  </w14:solidFill>
                </w14:textFill>
              </w:rPr>
              <w:t>应</w:t>
            </w:r>
            <w:r>
              <w:rPr>
                <w:rFonts w:cs="Times New Roman"/>
                <w:color w:val="000000" w:themeColor="text1"/>
                <w:kern w:val="2"/>
                <w:sz w:val="24"/>
                <w14:textFill>
                  <w14:solidFill>
                    <w14:schemeClr w14:val="tx1"/>
                  </w14:solidFill>
                </w14:textFill>
              </w:rPr>
              <w:t>立即安排化验室人员对地下水、</w:t>
            </w:r>
            <w:r>
              <w:rPr>
                <w:rFonts w:hint="eastAsia" w:cs="Times New Roman"/>
                <w:color w:val="000000" w:themeColor="text1"/>
                <w:kern w:val="2"/>
                <w:sz w:val="24"/>
                <w14:textFill>
                  <w14:solidFill>
                    <w14:schemeClr w14:val="tx1"/>
                  </w14:solidFill>
                </w14:textFill>
              </w:rPr>
              <w:t>南坎</w:t>
            </w:r>
            <w:r>
              <w:rPr>
                <w:rFonts w:cs="Times New Roman"/>
                <w:color w:val="000000" w:themeColor="text1"/>
                <w:kern w:val="2"/>
                <w:sz w:val="24"/>
                <w14:textFill>
                  <w14:solidFill>
                    <w14:schemeClr w14:val="tx1"/>
                  </w14:solidFill>
                </w14:textFill>
              </w:rPr>
              <w:t>河水质进行跟踪检测，并及时将监测情况报调度室汇总，由调度室上报应急指挥部总指挥。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1481" w:type="dxa"/>
            <w:vMerge w:val="continue"/>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p>
        </w:tc>
        <w:tc>
          <w:tcPr>
            <w:tcW w:w="889"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政府及相关部门</w:t>
            </w:r>
          </w:p>
        </w:tc>
        <w:tc>
          <w:tcPr>
            <w:tcW w:w="5834" w:type="dxa"/>
            <w:vAlign w:val="center"/>
          </w:tcPr>
          <w:p>
            <w:pPr>
              <w:tabs>
                <w:tab w:val="right" w:leader="dot" w:pos="8296"/>
              </w:tabs>
              <w:snapToGrid w:val="0"/>
              <w:ind w:firstLine="0" w:firstLineChars="0"/>
              <w:jc w:val="center"/>
              <w:rPr>
                <w:rFonts w:cs="Times New Roman"/>
                <w:color w:val="000000" w:themeColor="text1"/>
                <w:kern w:val="2"/>
                <w:sz w:val="24"/>
                <w14:textFill>
                  <w14:solidFill>
                    <w14:schemeClr w14:val="tx1"/>
                  </w14:solidFill>
                </w14:textFill>
              </w:rPr>
            </w:pPr>
            <w:r>
              <w:rPr>
                <w:rFonts w:cs="Times New Roman"/>
                <w:color w:val="000000" w:themeColor="text1"/>
                <w:kern w:val="2"/>
                <w:sz w:val="24"/>
                <w14:textFill>
                  <w14:solidFill>
                    <w14:schemeClr w14:val="tx1"/>
                  </w14:solidFill>
                </w14:textFill>
              </w:rPr>
              <w:t>当由</w:t>
            </w:r>
            <w:r>
              <w:rPr>
                <w:rFonts w:hint="eastAsia" w:cs="Times New Roman"/>
                <w:color w:val="000000" w:themeColor="text1"/>
                <w:kern w:val="2"/>
                <w:sz w:val="24"/>
                <w14:textFill>
                  <w14:solidFill>
                    <w14:schemeClr w14:val="tx1"/>
                  </w14:solidFill>
                </w14:textFill>
              </w:rPr>
              <w:t>景洪市</w:t>
            </w:r>
            <w:r>
              <w:rPr>
                <w:rFonts w:cs="Times New Roman"/>
                <w:color w:val="000000" w:themeColor="text1"/>
                <w:kern w:val="2"/>
                <w:sz w:val="24"/>
                <w14:textFill>
                  <w14:solidFill>
                    <w14:schemeClr w14:val="tx1"/>
                  </w14:solidFill>
                </w14:textFill>
              </w:rPr>
              <w:t>人民政府、生态环境局及有关部门介入或主导尾矿库突发环境事件的应急处置工作时，</w:t>
            </w:r>
            <w:r>
              <w:rPr>
                <w:rFonts w:hint="eastAsia" w:cs="Times New Roman"/>
                <w:color w:val="000000" w:themeColor="text1"/>
                <w:kern w:val="2"/>
                <w:sz w:val="24"/>
                <w14:textFill>
                  <w14:solidFill>
                    <w14:schemeClr w14:val="tx1"/>
                  </w14:solidFill>
                </w14:textFill>
              </w:rPr>
              <w:t>云南安宁泰源工贸集团有限公司景洪分公司</w:t>
            </w:r>
            <w:r>
              <w:rPr>
                <w:rFonts w:cs="Times New Roman"/>
                <w:color w:val="000000" w:themeColor="text1"/>
                <w:kern w:val="2"/>
                <w:sz w:val="24"/>
                <w14:textFill>
                  <w14:solidFill>
                    <w14:schemeClr w14:val="tx1"/>
                  </w14:solidFill>
                </w14:textFill>
              </w:rPr>
              <w:t>内部响应分级及程序不变化，各部门积极配合政府参与处置工作。</w:t>
            </w:r>
          </w:p>
        </w:tc>
      </w:tr>
    </w:tbl>
    <w:p>
      <w:pPr>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注：表中响应措施应根据</w:t>
      </w:r>
      <w:r>
        <w:rPr>
          <w:rFonts w:hint="eastAsia" w:cs="Times New Roman"/>
          <w:color w:val="000000" w:themeColor="text1"/>
          <w:sz w:val="24"/>
          <w:szCs w:val="24"/>
          <w14:textFill>
            <w14:solidFill>
              <w14:schemeClr w14:val="tx1"/>
            </w14:solidFill>
          </w14:textFill>
        </w:rPr>
        <w:t>企业</w:t>
      </w:r>
      <w:r>
        <w:rPr>
          <w:rFonts w:cs="Times New Roman"/>
          <w:color w:val="000000" w:themeColor="text1"/>
          <w:sz w:val="24"/>
          <w:szCs w:val="24"/>
          <w14:textFill>
            <w14:solidFill>
              <w14:schemeClr w14:val="tx1"/>
            </w14:solidFill>
          </w14:textFill>
        </w:rPr>
        <w:t>尾矿库实际情况进行增减</w:t>
      </w:r>
    </w:p>
    <w:p>
      <w:pPr>
        <w:pStyle w:val="18"/>
        <w:rPr>
          <w:color w:val="000000" w:themeColor="text1"/>
          <w14:textFill>
            <w14:solidFill>
              <w14:schemeClr w14:val="tx1"/>
            </w14:solidFill>
          </w14:textFill>
        </w:rPr>
      </w:pPr>
      <w:bookmarkStart w:id="109" w:name="_Toc30150"/>
      <w:bookmarkStart w:id="110" w:name="_Toc43143202"/>
      <w:bookmarkStart w:id="111" w:name="_Toc312"/>
      <w:r>
        <w:rPr>
          <w:color w:val="000000" w:themeColor="text1"/>
          <w14:textFill>
            <w14:solidFill>
              <w14:schemeClr w14:val="tx1"/>
            </w14:solidFill>
          </w14:textFill>
        </w:rPr>
        <w:t>6.2信息报告和通报</w:t>
      </w:r>
      <w:bookmarkEnd w:id="109"/>
      <w:bookmarkEnd w:id="110"/>
      <w:bookmarkEnd w:id="111"/>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当启动尾矿库应急预案二级响应以上级别时，由应急指挥部总指挥立即向云南安宁泰源工贸集团、景洪市人民政府、</w:t>
      </w:r>
      <w:r>
        <w:rPr>
          <w:rFonts w:hint="eastAsia"/>
          <w:color w:val="000000" w:themeColor="text1"/>
          <w:lang w:val="en-US" w:eastAsia="zh-CN"/>
          <w14:textFill>
            <w14:solidFill>
              <w14:schemeClr w14:val="tx1"/>
            </w14:solidFill>
          </w14:textFill>
        </w:rPr>
        <w:t>西双版纳傣族自治州州生态环境局景洪分局</w:t>
      </w:r>
      <w:r>
        <w:rPr>
          <w:rFonts w:hint="eastAsia"/>
          <w:color w:val="000000" w:themeColor="text1"/>
          <w14:textFill>
            <w14:solidFill>
              <w14:schemeClr w14:val="tx1"/>
            </w14:solidFill>
          </w14:textFill>
        </w:rPr>
        <w:t>报告，同时向周边可能受影响的居民（曼南坎村）、企业通报。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（1）信息报告</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当</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发生突发环境事件时，事发岗位人员（第一发现人）应立即向尾矿库负责人，尾矿库负责人应在15分钟内报告应急办公室或安环科报告事故情况（事发地点、事发时间、事故现状、事故可扩大性等），应急办公室或安环科在接到报警后，应立即去现场核实突发环境事件，对突发环境事件的性质和类别做出初步认定，并立即启动应急预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根据初步认定结果，公司在1小时内向</w:t>
      </w:r>
      <w:r>
        <w:rPr>
          <w:rFonts w:hint="eastAsia"/>
          <w:color w:val="000000" w:themeColor="text1"/>
          <w14:textFill>
            <w14:solidFill>
              <w14:schemeClr w14:val="tx1"/>
            </w14:solidFill>
          </w14:textFill>
        </w:rPr>
        <w:t>西双版纳州生态环境局景洪分局</w:t>
      </w:r>
      <w:r>
        <w:rPr>
          <w:color w:val="000000" w:themeColor="text1"/>
          <w14:textFill>
            <w14:solidFill>
              <w14:schemeClr w14:val="tx1"/>
            </w14:solidFill>
          </w14:textFill>
        </w:rPr>
        <w:t>报告，同时向上一级相关主管部门和相邻的相关单位汇报事故情况。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事故信息报告包括初报、续报和处理结果报告。</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a.初报：企业向</w:t>
      </w:r>
      <w:r>
        <w:rPr>
          <w:rFonts w:hint="eastAsia"/>
          <w:color w:val="000000" w:themeColor="text1"/>
          <w14:textFill>
            <w14:solidFill>
              <w14:schemeClr w14:val="tx1"/>
            </w14:solidFill>
          </w14:textFill>
        </w:rPr>
        <w:t>西双版纳州</w:t>
      </w:r>
      <w:r>
        <w:rPr>
          <w:color w:val="000000" w:themeColor="text1"/>
          <w14:textFill>
            <w14:solidFill>
              <w14:schemeClr w14:val="tx1"/>
            </w14:solidFill>
          </w14:textFill>
        </w:rPr>
        <w:t>生态环境局</w:t>
      </w:r>
      <w:r>
        <w:rPr>
          <w:rFonts w:hint="eastAsia"/>
          <w:color w:val="000000" w:themeColor="text1"/>
          <w14:textFill>
            <w14:solidFill>
              <w14:schemeClr w14:val="tx1"/>
            </w14:solidFill>
          </w14:textFill>
        </w:rPr>
        <w:t>景洪</w:t>
      </w:r>
      <w:r>
        <w:rPr>
          <w:color w:val="000000" w:themeColor="text1"/>
          <w14:textFill>
            <w14:solidFill>
              <w14:schemeClr w14:val="tx1"/>
            </w14:solidFill>
          </w14:textFill>
        </w:rPr>
        <w:t>分局等有关部门的首次上报。初报的主要内容包括尾矿库突发环境事件的发生时间、地点、事件起因和性质、基本过程、主要污染物和数量、监测数据、人员受害情况、事件发展趋势、已经或者可能对环境造成的影响、已启动的应急响应和已开展应急处置情况、拟进一步采取的措施、工作建议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b.续报：是在初报的基础上，报告进一步查清核实的情况和事件处置情况。续报视进展情况可以一次或多次报告。</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c.处理结果报告：是在初报和续报的基础上，报告配合地方人民政府及其环境保护等相关部门处理尾矿库突发环境事件的措施、过程和结果，突发环境事件潜在或者间接危害以及损失、社会影响、处理后的遗留问题、责任追究等详细情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突发环境事件信息可以采用传真、网络、邮寄和面呈等方式书面报告，情况紧急时，初报可以通过电话报告，但应当及时补充书面报告。书面报告载明报告单位、报告签发人、联系人及联系方式等内容，并尽可能提供地图、图片、视频以及其他多媒体资料。</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（2）通报</w:t>
      </w:r>
    </w:p>
    <w:p>
      <w:pPr>
        <w:ind w:firstLine="560"/>
        <w:rPr>
          <w:rFonts w:cs="Times New Roman"/>
          <w:color w:val="000000" w:themeColor="text1"/>
          <w:szCs w:val="28"/>
          <w14:textFill>
            <w14:solidFill>
              <w14:schemeClr w14:val="tx1"/>
            </w14:solidFill>
          </w14:textFill>
        </w:rPr>
        <w:sectPr>
          <w:headerReference r:id="rId33" w:type="default"/>
          <w:footerReference r:id="rId35" w:type="default"/>
          <w:headerReference r:id="rId34" w:type="even"/>
          <w:footerReference r:id="rId36" w:type="even"/>
          <w:pgSz w:w="11906" w:h="16838"/>
          <w:pgMar w:top="1418" w:right="1418" w:bottom="1440" w:left="1797" w:header="851" w:footer="992" w:gutter="0"/>
          <w:pgNumType w:fmt="decimal" w:start="1"/>
          <w:cols w:space="720" w:num="1"/>
          <w:docGrid w:type="linesAndChars" w:linePitch="381" w:charSpace="0"/>
        </w:sectPr>
      </w:pPr>
      <w:r>
        <w:rPr>
          <w:color w:val="000000" w:themeColor="text1"/>
          <w14:textFill>
            <w14:solidFill>
              <w14:schemeClr w14:val="tx1"/>
            </w14:solidFill>
          </w14:textFill>
        </w:rPr>
        <w:t>当尾矿库企业向当地人民政府及其环境保护等相关部门报告的同时，要根据预警级别、初判的尾矿库</w:t>
      </w:r>
      <w:r>
        <w:rPr>
          <w:rFonts w:hint="eastAsia"/>
          <w:color w:val="000000" w:themeColor="text1"/>
          <w14:textFill>
            <w14:solidFill>
              <w14:schemeClr w14:val="tx1"/>
            </w14:solidFill>
          </w14:textFill>
        </w:rPr>
        <w:t>突发</w:t>
      </w:r>
      <w:r>
        <w:rPr>
          <w:color w:val="000000" w:themeColor="text1"/>
          <w14:textFill>
            <w14:solidFill>
              <w14:schemeClr w14:val="tx1"/>
            </w14:solidFill>
          </w14:textFill>
        </w:rPr>
        <w:t>环境事件后果，明确向周边可能受影响的居民</w:t>
      </w:r>
      <w:r>
        <w:rPr>
          <w:rFonts w:hint="eastAsia"/>
          <w:color w:val="000000" w:themeColor="text1"/>
          <w14:textFill>
            <w14:solidFill>
              <w14:schemeClr w14:val="tx1"/>
            </w14:solidFill>
          </w14:textFill>
        </w:rPr>
        <w:t>（曼南坎村民小组）</w:t>
      </w:r>
      <w:r>
        <w:rPr>
          <w:color w:val="000000" w:themeColor="text1"/>
          <w14:textFill>
            <w14:solidFill>
              <w14:schemeClr w14:val="tx1"/>
            </w14:solidFill>
          </w14:textFill>
        </w:rPr>
        <w:t>通报</w:t>
      </w:r>
      <w:r>
        <w:rPr>
          <w:rFonts w:hint="eastAsia"/>
          <w:color w:val="000000" w:themeColor="text1"/>
          <w14:textFill>
            <w14:solidFill>
              <w14:schemeClr w14:val="tx1"/>
            </w14:solidFill>
          </w14:textFill>
        </w:rPr>
        <w:t>。</w:t>
      </w:r>
    </w:p>
    <w:p>
      <w:pPr>
        <w:ind w:firstLine="0" w:firstLineChars="0"/>
        <w:jc w:val="center"/>
        <w:rPr>
          <w:rFonts w:cs="Times New Roman"/>
          <w:b/>
          <w:color w:val="000000" w:themeColor="text1"/>
          <w:szCs w:val="28"/>
          <w14:textFill>
            <w14:solidFill>
              <w14:schemeClr w14:val="tx1"/>
            </w14:solidFill>
          </w14:textFill>
        </w:rPr>
      </w:pPr>
      <w:r>
        <w:rPr>
          <w:rFonts w:cs="Times New Roman"/>
          <w:b/>
          <w:color w:val="000000" w:themeColor="text1"/>
          <w:sz w:val="24"/>
          <w:szCs w:val="24"/>
          <w14:textFill>
            <w14:solidFill>
              <w14:schemeClr w14:val="tx1"/>
            </w14:solidFill>
          </w14:textFill>
        </w:rPr>
        <w:t>表6.2-1信息报告与通报情况一览表</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856"/>
        <w:gridCol w:w="975"/>
        <w:gridCol w:w="2079"/>
        <w:gridCol w:w="3050"/>
        <w:gridCol w:w="2976"/>
        <w:gridCol w:w="2502"/>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dxa"/>
            <w:vMerge w:val="restart"/>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报告</w:t>
            </w:r>
          </w:p>
        </w:tc>
        <w:tc>
          <w:tcPr>
            <w:tcW w:w="856" w:type="dxa"/>
            <w:vMerge w:val="restart"/>
            <w:vAlign w:val="center"/>
          </w:tcPr>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响应级别</w:t>
            </w:r>
          </w:p>
        </w:tc>
        <w:tc>
          <w:tcPr>
            <w:tcW w:w="975" w:type="dxa"/>
            <w:vMerge w:val="restart"/>
            <w:vAlign w:val="center"/>
          </w:tcPr>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人员与单位</w:t>
            </w:r>
          </w:p>
        </w:tc>
        <w:tc>
          <w:tcPr>
            <w:tcW w:w="2079" w:type="dxa"/>
            <w:vMerge w:val="restart"/>
            <w:vAlign w:val="center"/>
          </w:tcPr>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对象</w:t>
            </w:r>
          </w:p>
        </w:tc>
        <w:tc>
          <w:tcPr>
            <w:tcW w:w="8528" w:type="dxa"/>
            <w:gridSpan w:val="3"/>
            <w:vAlign w:val="center"/>
          </w:tcPr>
          <w:p>
            <w:pPr>
              <w:tabs>
                <w:tab w:val="right" w:leader="dot" w:pos="8296"/>
              </w:tabs>
              <w:snapToGrid w:val="0"/>
              <w:ind w:firstLine="422"/>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报告内容</w:t>
            </w:r>
          </w:p>
        </w:tc>
        <w:tc>
          <w:tcPr>
            <w:tcW w:w="1222" w:type="dxa"/>
            <w:vMerge w:val="restart"/>
            <w:vAlign w:val="center"/>
          </w:tcPr>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514"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856" w:type="dxa"/>
            <w:vMerge w:val="continue"/>
            <w:vAlign w:val="center"/>
          </w:tcPr>
          <w:p>
            <w:pPr>
              <w:tabs>
                <w:tab w:val="right" w:leader="dot" w:pos="8296"/>
              </w:tabs>
              <w:snapToGrid w:val="0"/>
              <w:ind w:firstLine="480" w:firstLineChars="0"/>
              <w:jc w:val="center"/>
              <w:rPr>
                <w:rFonts w:ascii="仿宋" w:hAnsi="仿宋" w:cs="仿宋"/>
                <w:color w:val="000000" w:themeColor="text1"/>
                <w:kern w:val="2"/>
                <w:sz w:val="21"/>
                <w:szCs w:val="21"/>
                <w14:textFill>
                  <w14:solidFill>
                    <w14:schemeClr w14:val="tx1"/>
                  </w14:solidFill>
                </w14:textFill>
              </w:rPr>
            </w:pPr>
          </w:p>
        </w:tc>
        <w:tc>
          <w:tcPr>
            <w:tcW w:w="975" w:type="dxa"/>
            <w:vMerge w:val="continue"/>
            <w:vAlign w:val="center"/>
          </w:tcPr>
          <w:p>
            <w:pPr>
              <w:widowControl/>
              <w:adjustRightInd/>
              <w:ind w:firstLine="480" w:firstLineChars="0"/>
              <w:jc w:val="center"/>
              <w:textAlignment w:val="auto"/>
              <w:rPr>
                <w:rFonts w:ascii="仿宋" w:hAnsi="仿宋" w:cs="仿宋"/>
                <w:color w:val="000000" w:themeColor="text1"/>
                <w:kern w:val="2"/>
                <w:sz w:val="21"/>
                <w:szCs w:val="21"/>
                <w14:textFill>
                  <w14:solidFill>
                    <w14:schemeClr w14:val="tx1"/>
                  </w14:solidFill>
                </w14:textFill>
              </w:rPr>
            </w:pPr>
          </w:p>
        </w:tc>
        <w:tc>
          <w:tcPr>
            <w:tcW w:w="2079" w:type="dxa"/>
            <w:vMerge w:val="continue"/>
            <w:vAlign w:val="center"/>
          </w:tcPr>
          <w:p>
            <w:pPr>
              <w:widowControl/>
              <w:adjustRightInd/>
              <w:ind w:firstLine="480" w:firstLineChars="0"/>
              <w:jc w:val="center"/>
              <w:textAlignment w:val="auto"/>
              <w:rPr>
                <w:rFonts w:ascii="仿宋" w:hAnsi="仿宋" w:cs="仿宋"/>
                <w:color w:val="000000" w:themeColor="text1"/>
                <w:kern w:val="2"/>
                <w:sz w:val="21"/>
                <w:szCs w:val="21"/>
                <w14:textFill>
                  <w14:solidFill>
                    <w14:schemeClr w14:val="tx1"/>
                  </w14:solidFill>
                </w14:textFill>
              </w:rPr>
            </w:pPr>
          </w:p>
        </w:tc>
        <w:tc>
          <w:tcPr>
            <w:tcW w:w="3050" w:type="dxa"/>
            <w:vAlign w:val="center"/>
          </w:tcPr>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初报</w:t>
            </w:r>
          </w:p>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（60分钟之内）</w:t>
            </w:r>
          </w:p>
        </w:tc>
        <w:tc>
          <w:tcPr>
            <w:tcW w:w="2976" w:type="dxa"/>
            <w:vAlign w:val="center"/>
          </w:tcPr>
          <w:p>
            <w:pPr>
              <w:tabs>
                <w:tab w:val="right" w:leader="dot" w:pos="8296"/>
              </w:tabs>
              <w:snapToGrid w:val="0"/>
              <w:ind w:firstLine="422"/>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续报</w:t>
            </w:r>
          </w:p>
          <w:p>
            <w:pPr>
              <w:tabs>
                <w:tab w:val="right" w:leader="dot" w:pos="8296"/>
              </w:tabs>
              <w:snapToGrid w:val="0"/>
              <w:ind w:firstLine="422"/>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（至少1天一次）</w:t>
            </w:r>
          </w:p>
        </w:tc>
        <w:tc>
          <w:tcPr>
            <w:tcW w:w="2502" w:type="dxa"/>
            <w:vAlign w:val="center"/>
          </w:tcPr>
          <w:p>
            <w:pPr>
              <w:tabs>
                <w:tab w:val="right" w:leader="dot" w:pos="8296"/>
              </w:tabs>
              <w:snapToGrid w:val="0"/>
              <w:ind w:firstLine="422"/>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处理结果报告</w:t>
            </w:r>
          </w:p>
          <w:p>
            <w:pPr>
              <w:tabs>
                <w:tab w:val="right" w:leader="dot" w:pos="8296"/>
              </w:tabs>
              <w:snapToGrid w:val="0"/>
              <w:ind w:firstLine="0" w:firstLineChars="0"/>
              <w:jc w:val="center"/>
              <w:rPr>
                <w:rFonts w:ascii="仿宋" w:hAnsi="仿宋" w:cs="仿宋"/>
                <w:b/>
                <w:bCs/>
                <w:color w:val="000000" w:themeColor="text1"/>
                <w:kern w:val="2"/>
                <w:sz w:val="21"/>
                <w:szCs w:val="21"/>
                <w14:textFill>
                  <w14:solidFill>
                    <w14:schemeClr w14:val="tx1"/>
                  </w14:solidFill>
                </w14:textFill>
              </w:rPr>
            </w:pPr>
            <w:r>
              <w:rPr>
                <w:rFonts w:hint="eastAsia" w:ascii="仿宋" w:hAnsi="仿宋" w:cs="仿宋"/>
                <w:b/>
                <w:bCs/>
                <w:color w:val="000000" w:themeColor="text1"/>
                <w:kern w:val="2"/>
                <w:sz w:val="21"/>
                <w:szCs w:val="21"/>
                <w14:textFill>
                  <w14:solidFill>
                    <w14:schemeClr w14:val="tx1"/>
                  </w14:solidFill>
                </w14:textFill>
              </w:rPr>
              <w:t>（处置结束后1个月内）</w:t>
            </w:r>
          </w:p>
        </w:tc>
        <w:tc>
          <w:tcPr>
            <w:tcW w:w="1222" w:type="dxa"/>
            <w:vMerge w:val="continue"/>
            <w:vAlign w:val="center"/>
          </w:tcPr>
          <w:p>
            <w:pPr>
              <w:adjustRightInd/>
              <w:ind w:firstLine="420"/>
              <w:textAlignment w:val="auto"/>
              <w:rPr>
                <w:rFonts w:ascii="仿宋" w:hAnsi="仿宋" w:cs="仿宋"/>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514"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856" w:type="dxa"/>
            <w:vMerge w:val="restart"/>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一级、二级</w:t>
            </w:r>
          </w:p>
        </w:tc>
        <w:tc>
          <w:tcPr>
            <w:tcW w:w="975" w:type="dxa"/>
            <w:vMerge w:val="restart"/>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应急指挥部总指挥</w:t>
            </w: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勐龙镇人民政府</w:t>
            </w:r>
          </w:p>
        </w:tc>
        <w:tc>
          <w:tcPr>
            <w:tcW w:w="3050" w:type="dxa"/>
            <w:vMerge w:val="restart"/>
            <w:vAlign w:val="center"/>
          </w:tcPr>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①突发环境事件的地点、类型、发生时间、性质、事件起因、持续时间；</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②尾矿及废水泄漏量、特征污染物浓度、影响范围、事件发展趋势；</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③已启动的应急响应、已开展的应急处置措施；</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④是否需要其他援助等。</w:t>
            </w:r>
          </w:p>
        </w:tc>
        <w:tc>
          <w:tcPr>
            <w:tcW w:w="2976" w:type="dxa"/>
            <w:vMerge w:val="restart"/>
            <w:vAlign w:val="center"/>
          </w:tcPr>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①尾矿浆及废水的源头控制情况；</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②已泄漏污水在农田、XX河或地下水中的运移情况和拦截、处置情况；</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③每日监测结果；</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④周边居民的受影响程度；</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⑤影响可能扩大的情况。</w:t>
            </w:r>
          </w:p>
        </w:tc>
        <w:tc>
          <w:tcPr>
            <w:tcW w:w="2502" w:type="dxa"/>
            <w:vMerge w:val="restart"/>
            <w:vAlign w:val="center"/>
          </w:tcPr>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①处置工作现阶段；</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②尾矿浆及废水的源头控制情况；</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③处置结果：包括污染控制情况和跟踪监测结果；</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④事故发生后的遗留问题和潜在危害。</w:t>
            </w:r>
          </w:p>
        </w:tc>
        <w:tc>
          <w:tcPr>
            <w:tcW w:w="1222" w:type="dxa"/>
            <w:vMerge w:val="restart"/>
            <w:vAlign w:val="center"/>
          </w:tcPr>
          <w:p>
            <w:pPr>
              <w:widowControl/>
              <w:adjustRightInd/>
              <w:ind w:firstLine="0" w:firstLineChars="0"/>
              <w:jc w:val="center"/>
              <w:textAlignment w:val="auto"/>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14"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856"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975"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西双版纳州生态环境局景洪分局</w:t>
            </w:r>
          </w:p>
        </w:tc>
        <w:tc>
          <w:tcPr>
            <w:tcW w:w="3050"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976" w:type="dxa"/>
            <w:vMerge w:val="continue"/>
            <w:vAlign w:val="center"/>
          </w:tcPr>
          <w:p>
            <w:pPr>
              <w:tabs>
                <w:tab w:val="right" w:leader="dot" w:pos="8296"/>
              </w:tabs>
              <w:snapToGrid w:val="0"/>
              <w:ind w:firstLine="420"/>
              <w:rPr>
                <w:rFonts w:ascii="仿宋" w:hAnsi="仿宋" w:cs="仿宋"/>
                <w:color w:val="000000" w:themeColor="text1"/>
                <w:kern w:val="2"/>
                <w:sz w:val="21"/>
                <w:szCs w:val="21"/>
                <w14:textFill>
                  <w14:solidFill>
                    <w14:schemeClr w14:val="tx1"/>
                  </w14:solidFill>
                </w14:textFill>
              </w:rPr>
            </w:pPr>
          </w:p>
        </w:tc>
        <w:tc>
          <w:tcPr>
            <w:tcW w:w="2502" w:type="dxa"/>
            <w:vMerge w:val="continue"/>
            <w:vAlign w:val="center"/>
          </w:tcPr>
          <w:p>
            <w:pPr>
              <w:tabs>
                <w:tab w:val="right" w:leader="dot" w:pos="8296"/>
              </w:tabs>
              <w:snapToGrid w:val="0"/>
              <w:ind w:firstLine="420"/>
              <w:rPr>
                <w:rFonts w:ascii="仿宋" w:hAnsi="仿宋" w:cs="仿宋"/>
                <w:color w:val="000000" w:themeColor="text1"/>
                <w:kern w:val="2"/>
                <w:sz w:val="21"/>
                <w:szCs w:val="21"/>
                <w14:textFill>
                  <w14:solidFill>
                    <w14:schemeClr w14:val="tx1"/>
                  </w14:solidFill>
                </w14:textFill>
              </w:rPr>
            </w:pPr>
          </w:p>
        </w:tc>
        <w:tc>
          <w:tcPr>
            <w:tcW w:w="1222" w:type="dxa"/>
            <w:vMerge w:val="continue"/>
            <w:vAlign w:val="center"/>
          </w:tcPr>
          <w:p>
            <w:pPr>
              <w:adjustRightInd/>
              <w:ind w:firstLine="420"/>
              <w:textAlignment w:val="auto"/>
              <w:rPr>
                <w:rFonts w:ascii="仿宋" w:hAnsi="仿宋" w:cs="仿宋"/>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514"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856"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975"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勐龙镇安监局</w:t>
            </w:r>
          </w:p>
        </w:tc>
        <w:tc>
          <w:tcPr>
            <w:tcW w:w="3050"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976" w:type="dxa"/>
            <w:vMerge w:val="continue"/>
            <w:vAlign w:val="center"/>
          </w:tcPr>
          <w:p>
            <w:pPr>
              <w:tabs>
                <w:tab w:val="right" w:leader="dot" w:pos="8296"/>
              </w:tabs>
              <w:snapToGrid w:val="0"/>
              <w:ind w:firstLine="420"/>
              <w:rPr>
                <w:rFonts w:ascii="仿宋" w:hAnsi="仿宋" w:cs="仿宋"/>
                <w:color w:val="000000" w:themeColor="text1"/>
                <w:kern w:val="2"/>
                <w:sz w:val="21"/>
                <w:szCs w:val="21"/>
                <w14:textFill>
                  <w14:solidFill>
                    <w14:schemeClr w14:val="tx1"/>
                  </w14:solidFill>
                </w14:textFill>
              </w:rPr>
            </w:pPr>
          </w:p>
        </w:tc>
        <w:tc>
          <w:tcPr>
            <w:tcW w:w="2502" w:type="dxa"/>
            <w:vMerge w:val="continue"/>
            <w:vAlign w:val="center"/>
          </w:tcPr>
          <w:p>
            <w:pPr>
              <w:tabs>
                <w:tab w:val="right" w:leader="dot" w:pos="8296"/>
              </w:tabs>
              <w:snapToGrid w:val="0"/>
              <w:ind w:firstLine="420"/>
              <w:rPr>
                <w:rFonts w:ascii="仿宋" w:hAnsi="仿宋" w:cs="仿宋"/>
                <w:color w:val="000000" w:themeColor="text1"/>
                <w:kern w:val="2"/>
                <w:sz w:val="21"/>
                <w:szCs w:val="21"/>
                <w14:textFill>
                  <w14:solidFill>
                    <w14:schemeClr w14:val="tx1"/>
                  </w14:solidFill>
                </w14:textFill>
              </w:rPr>
            </w:pPr>
          </w:p>
        </w:tc>
        <w:tc>
          <w:tcPr>
            <w:tcW w:w="1222" w:type="dxa"/>
            <w:vMerge w:val="continue"/>
            <w:vAlign w:val="center"/>
          </w:tcPr>
          <w:p>
            <w:pPr>
              <w:adjustRightInd/>
              <w:ind w:firstLine="420"/>
              <w:textAlignment w:val="auto"/>
              <w:rPr>
                <w:rFonts w:ascii="仿宋" w:hAnsi="仿宋" w:cs="仿宋"/>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856"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975"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云南安宁泰源工贸集团有限公司景洪分公司公司</w:t>
            </w:r>
          </w:p>
        </w:tc>
        <w:tc>
          <w:tcPr>
            <w:tcW w:w="3050"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976" w:type="dxa"/>
            <w:vMerge w:val="continue"/>
            <w:vAlign w:val="center"/>
          </w:tcPr>
          <w:p>
            <w:pPr>
              <w:tabs>
                <w:tab w:val="right" w:leader="dot" w:pos="8296"/>
              </w:tabs>
              <w:snapToGrid w:val="0"/>
              <w:ind w:firstLine="420"/>
              <w:rPr>
                <w:rFonts w:ascii="仿宋" w:hAnsi="仿宋" w:cs="仿宋"/>
                <w:color w:val="000000" w:themeColor="text1"/>
                <w:kern w:val="2"/>
                <w:sz w:val="21"/>
                <w:szCs w:val="21"/>
                <w14:textFill>
                  <w14:solidFill>
                    <w14:schemeClr w14:val="tx1"/>
                  </w14:solidFill>
                </w14:textFill>
              </w:rPr>
            </w:pPr>
          </w:p>
        </w:tc>
        <w:tc>
          <w:tcPr>
            <w:tcW w:w="2502" w:type="dxa"/>
            <w:vMerge w:val="continue"/>
            <w:vAlign w:val="center"/>
          </w:tcPr>
          <w:p>
            <w:pPr>
              <w:tabs>
                <w:tab w:val="right" w:leader="dot" w:pos="8296"/>
              </w:tabs>
              <w:snapToGrid w:val="0"/>
              <w:ind w:firstLine="420"/>
              <w:rPr>
                <w:rFonts w:ascii="仿宋" w:hAnsi="仿宋" w:cs="仿宋"/>
                <w:color w:val="000000" w:themeColor="text1"/>
                <w:kern w:val="2"/>
                <w:sz w:val="21"/>
                <w:szCs w:val="21"/>
                <w14:textFill>
                  <w14:solidFill>
                    <w14:schemeClr w14:val="tx1"/>
                  </w14:solidFill>
                </w14:textFill>
              </w:rPr>
            </w:pPr>
          </w:p>
        </w:tc>
        <w:tc>
          <w:tcPr>
            <w:tcW w:w="1222" w:type="dxa"/>
            <w:vMerge w:val="continue"/>
            <w:vAlign w:val="center"/>
          </w:tcPr>
          <w:p>
            <w:pPr>
              <w:adjustRightInd/>
              <w:ind w:firstLine="420"/>
              <w:textAlignment w:val="auto"/>
              <w:rPr>
                <w:rFonts w:ascii="仿宋" w:hAnsi="仿宋" w:cs="仿宋"/>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514" w:type="dxa"/>
            <w:vMerge w:val="restart"/>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通报</w:t>
            </w:r>
          </w:p>
        </w:tc>
        <w:tc>
          <w:tcPr>
            <w:tcW w:w="856"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二级</w:t>
            </w:r>
          </w:p>
        </w:tc>
        <w:tc>
          <w:tcPr>
            <w:tcW w:w="975"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公司突发事故应急管理部</w:t>
            </w: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曼南坎村村支书</w:t>
            </w:r>
          </w:p>
        </w:tc>
        <w:tc>
          <w:tcPr>
            <w:tcW w:w="8528" w:type="dxa"/>
            <w:gridSpan w:val="3"/>
            <w:vAlign w:val="center"/>
          </w:tcPr>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①尾矿浆或废水泄漏地点、泄漏污染物、影响范围；</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②建议暂停用水。</w:t>
            </w:r>
          </w:p>
        </w:tc>
        <w:tc>
          <w:tcPr>
            <w:tcW w:w="1222" w:type="dxa"/>
            <w:vAlign w:val="center"/>
          </w:tcPr>
          <w:p>
            <w:pPr>
              <w:widowControl/>
              <w:adjustRightInd/>
              <w:ind w:firstLine="0" w:firstLineChars="0"/>
              <w:jc w:val="center"/>
              <w:textAlignment w:val="auto"/>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电话、手摇警报器、铜锣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dxa"/>
            <w:vMerge w:val="continue"/>
            <w:vAlign w:val="center"/>
          </w:tcPr>
          <w:p>
            <w:pPr>
              <w:tabs>
                <w:tab w:val="right" w:leader="dot" w:pos="8296"/>
              </w:tabs>
              <w:snapToGrid w:val="0"/>
              <w:ind w:firstLine="480" w:firstLineChars="0"/>
              <w:jc w:val="center"/>
              <w:rPr>
                <w:rFonts w:ascii="仿宋" w:hAnsi="仿宋" w:cs="仿宋"/>
                <w:color w:val="000000" w:themeColor="text1"/>
                <w:kern w:val="2"/>
                <w:sz w:val="21"/>
                <w:szCs w:val="21"/>
                <w14:textFill>
                  <w14:solidFill>
                    <w14:schemeClr w14:val="tx1"/>
                  </w14:solidFill>
                </w14:textFill>
              </w:rPr>
            </w:pPr>
          </w:p>
        </w:tc>
        <w:tc>
          <w:tcPr>
            <w:tcW w:w="856" w:type="dxa"/>
            <w:vMerge w:val="restart"/>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一级</w:t>
            </w:r>
          </w:p>
        </w:tc>
        <w:tc>
          <w:tcPr>
            <w:tcW w:w="975" w:type="dxa"/>
            <w:vMerge w:val="restart"/>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公司突发事故应急管理部</w:t>
            </w: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曼南坎村村支书、勐龙镇人民政府</w:t>
            </w:r>
          </w:p>
        </w:tc>
        <w:tc>
          <w:tcPr>
            <w:tcW w:w="8528" w:type="dxa"/>
            <w:gridSpan w:val="3"/>
            <w:vAlign w:val="center"/>
          </w:tcPr>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①尾矿浆或废水泄漏地点、泄漏污染物、影响范围；</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②建议暂停用水。</w:t>
            </w:r>
          </w:p>
        </w:tc>
        <w:tc>
          <w:tcPr>
            <w:tcW w:w="1222" w:type="dxa"/>
            <w:vAlign w:val="center"/>
          </w:tcPr>
          <w:p>
            <w:pPr>
              <w:widowControl/>
              <w:adjustRightInd/>
              <w:ind w:firstLine="0" w:firstLineChars="0"/>
              <w:jc w:val="center"/>
              <w:textAlignment w:val="auto"/>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电话、手摇警报器、铜锣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dxa"/>
            <w:vMerge w:val="continue"/>
            <w:vAlign w:val="center"/>
          </w:tcPr>
          <w:p>
            <w:pPr>
              <w:widowControl/>
              <w:adjustRightInd/>
              <w:ind w:firstLine="480" w:firstLineChars="0"/>
              <w:jc w:val="center"/>
              <w:textAlignment w:val="auto"/>
              <w:rPr>
                <w:rFonts w:ascii="仿宋" w:hAnsi="仿宋" w:cs="仿宋"/>
                <w:color w:val="000000" w:themeColor="text1"/>
                <w:sz w:val="21"/>
                <w:szCs w:val="21"/>
                <w14:textFill>
                  <w14:solidFill>
                    <w14:schemeClr w14:val="tx1"/>
                  </w14:solidFill>
                </w14:textFill>
              </w:rPr>
            </w:pPr>
          </w:p>
        </w:tc>
        <w:tc>
          <w:tcPr>
            <w:tcW w:w="856"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975" w:type="dxa"/>
            <w:vMerge w:val="continue"/>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景洪市生态环境局</w:t>
            </w:r>
          </w:p>
        </w:tc>
        <w:tc>
          <w:tcPr>
            <w:tcW w:w="8528" w:type="dxa"/>
            <w:gridSpan w:val="3"/>
            <w:vMerge w:val="restart"/>
            <w:vAlign w:val="center"/>
          </w:tcPr>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①突发环境事件的地点、类型、发生时间、性质、事件起因；</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②尾矿及废水泄漏量、影响范围、事件发展趋势；</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③已启动的应急响应、已开展的应急处置措施；</w:t>
            </w:r>
          </w:p>
          <w:p>
            <w:pPr>
              <w:tabs>
                <w:tab w:val="right" w:leader="dot" w:pos="8296"/>
              </w:tabs>
              <w:snapToGrid w:val="0"/>
              <w:ind w:firstLine="0" w:firstLineChars="0"/>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④需要提供的处置人员、机械、药剂等数量。</w:t>
            </w:r>
          </w:p>
        </w:tc>
        <w:tc>
          <w:tcPr>
            <w:tcW w:w="1222" w:type="dxa"/>
            <w:vMerge w:val="restart"/>
            <w:vAlign w:val="center"/>
          </w:tcPr>
          <w:p>
            <w:pPr>
              <w:widowControl/>
              <w:adjustRightInd/>
              <w:ind w:firstLine="0" w:firstLineChars="0"/>
              <w:jc w:val="center"/>
              <w:textAlignment w:val="auto"/>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dxa"/>
            <w:vMerge w:val="continue"/>
            <w:vAlign w:val="center"/>
          </w:tcPr>
          <w:p>
            <w:pPr>
              <w:widowControl/>
              <w:adjustRightInd/>
              <w:ind w:firstLine="480" w:firstLineChars="0"/>
              <w:jc w:val="center"/>
              <w:textAlignment w:val="auto"/>
              <w:rPr>
                <w:rFonts w:ascii="仿宋" w:hAnsi="仿宋" w:cs="仿宋"/>
                <w:color w:val="000000" w:themeColor="text1"/>
                <w:sz w:val="21"/>
                <w:szCs w:val="21"/>
                <w14:textFill>
                  <w14:solidFill>
                    <w14:schemeClr w14:val="tx1"/>
                  </w14:solidFill>
                </w14:textFill>
              </w:rPr>
            </w:pPr>
          </w:p>
        </w:tc>
        <w:tc>
          <w:tcPr>
            <w:tcW w:w="856" w:type="dxa"/>
            <w:vMerge w:val="continue"/>
            <w:vAlign w:val="center"/>
          </w:tcPr>
          <w:p>
            <w:pPr>
              <w:widowControl/>
              <w:adjustRightInd/>
              <w:ind w:firstLine="480" w:firstLineChars="0"/>
              <w:jc w:val="center"/>
              <w:textAlignment w:val="auto"/>
              <w:rPr>
                <w:rFonts w:ascii="仿宋" w:hAnsi="仿宋" w:cs="仿宋"/>
                <w:color w:val="000000" w:themeColor="text1"/>
                <w:sz w:val="21"/>
                <w:szCs w:val="21"/>
                <w14:textFill>
                  <w14:solidFill>
                    <w14:schemeClr w14:val="tx1"/>
                  </w14:solidFill>
                </w14:textFill>
              </w:rPr>
            </w:pPr>
          </w:p>
        </w:tc>
        <w:tc>
          <w:tcPr>
            <w:tcW w:w="975" w:type="dxa"/>
            <w:vMerge w:val="continue"/>
            <w:vAlign w:val="center"/>
          </w:tcPr>
          <w:p>
            <w:pPr>
              <w:widowControl/>
              <w:adjustRightInd/>
              <w:ind w:firstLine="480" w:firstLineChars="0"/>
              <w:jc w:val="center"/>
              <w:textAlignment w:val="auto"/>
              <w:rPr>
                <w:rFonts w:ascii="仿宋" w:hAnsi="仿宋" w:cs="仿宋"/>
                <w:color w:val="000000" w:themeColor="text1"/>
                <w:sz w:val="21"/>
                <w:szCs w:val="21"/>
                <w14:textFill>
                  <w14:solidFill>
                    <w14:schemeClr w14:val="tx1"/>
                  </w14:solidFill>
                </w14:textFill>
              </w:rPr>
            </w:pPr>
          </w:p>
        </w:tc>
        <w:tc>
          <w:tcPr>
            <w:tcW w:w="2079" w:type="dxa"/>
            <w:vAlign w:val="center"/>
          </w:tcPr>
          <w:p>
            <w:pPr>
              <w:tabs>
                <w:tab w:val="right" w:leader="dot" w:pos="8296"/>
              </w:tabs>
              <w:snapToGrid w:val="0"/>
              <w:ind w:firstLine="0" w:firstLineChars="0"/>
              <w:jc w:val="center"/>
              <w:rPr>
                <w:rFonts w:ascii="仿宋" w:hAnsi="仿宋" w:cs="仿宋"/>
                <w:color w:val="000000" w:themeColor="text1"/>
                <w:kern w:val="2"/>
                <w:sz w:val="21"/>
                <w:szCs w:val="21"/>
                <w14:textFill>
                  <w14:solidFill>
                    <w14:schemeClr w14:val="tx1"/>
                  </w14:solidFill>
                </w14:textFill>
              </w:rPr>
            </w:pPr>
            <w:r>
              <w:rPr>
                <w:rFonts w:hint="eastAsia" w:ascii="仿宋" w:hAnsi="仿宋" w:cs="仿宋"/>
                <w:color w:val="000000" w:themeColor="text1"/>
                <w:kern w:val="2"/>
                <w:sz w:val="21"/>
                <w:szCs w:val="21"/>
                <w14:textFill>
                  <w14:solidFill>
                    <w14:schemeClr w14:val="tx1"/>
                  </w14:solidFill>
                </w14:textFill>
              </w:rPr>
              <w:t>云南安宁泰源工贸集团有限公司景洪分公司公司</w:t>
            </w:r>
          </w:p>
        </w:tc>
        <w:tc>
          <w:tcPr>
            <w:tcW w:w="8528" w:type="dxa"/>
            <w:gridSpan w:val="3"/>
            <w:vMerge w:val="continue"/>
            <w:vAlign w:val="center"/>
          </w:tcPr>
          <w:p>
            <w:pPr>
              <w:widowControl/>
              <w:adjustRightInd/>
              <w:spacing w:before="100" w:beforeAutospacing="1" w:after="100" w:afterAutospacing="1"/>
              <w:ind w:firstLine="480" w:firstLineChars="0"/>
              <w:textAlignment w:val="auto"/>
              <w:rPr>
                <w:rFonts w:ascii="仿宋" w:hAnsi="仿宋" w:cs="仿宋"/>
                <w:color w:val="000000" w:themeColor="text1"/>
                <w:sz w:val="21"/>
                <w:szCs w:val="21"/>
                <w14:textFill>
                  <w14:solidFill>
                    <w14:schemeClr w14:val="tx1"/>
                  </w14:solidFill>
                </w14:textFill>
              </w:rPr>
            </w:pPr>
          </w:p>
        </w:tc>
        <w:tc>
          <w:tcPr>
            <w:tcW w:w="1222" w:type="dxa"/>
            <w:vMerge w:val="continue"/>
            <w:vAlign w:val="center"/>
          </w:tcPr>
          <w:p>
            <w:pPr>
              <w:widowControl/>
              <w:adjustRightInd/>
              <w:ind w:firstLine="480" w:firstLineChars="0"/>
              <w:jc w:val="center"/>
              <w:textAlignment w:val="auto"/>
              <w:rPr>
                <w:rFonts w:ascii="仿宋" w:hAnsi="仿宋" w:cs="仿宋"/>
                <w:color w:val="000000" w:themeColor="text1"/>
                <w:sz w:val="21"/>
                <w:szCs w:val="21"/>
                <w14:textFill>
                  <w14:solidFill>
                    <w14:schemeClr w14:val="tx1"/>
                  </w14:solidFill>
                </w14:textFill>
              </w:rPr>
            </w:pPr>
          </w:p>
        </w:tc>
      </w:tr>
    </w:tbl>
    <w:p>
      <w:pPr>
        <w:pStyle w:val="30"/>
        <w:ind w:left="560" w:firstLine="560"/>
        <w:rPr>
          <w:rFonts w:cs="Times New Roman"/>
          <w:color w:val="000000" w:themeColor="text1"/>
          <w14:textFill>
            <w14:solidFill>
              <w14:schemeClr w14:val="tx1"/>
            </w14:solidFill>
          </w14:textFill>
        </w:rPr>
      </w:pPr>
    </w:p>
    <w:p>
      <w:pPr>
        <w:pStyle w:val="30"/>
        <w:ind w:left="560" w:firstLine="560"/>
        <w:rPr>
          <w:rFonts w:cs="Times New Roman"/>
          <w:color w:val="000000" w:themeColor="text1"/>
          <w14:textFill>
            <w14:solidFill>
              <w14:schemeClr w14:val="tx1"/>
            </w14:solidFill>
          </w14:textFill>
        </w:rPr>
        <w:sectPr>
          <w:headerReference r:id="rId37" w:type="default"/>
          <w:footerReference r:id="rId39" w:type="default"/>
          <w:headerReference r:id="rId38" w:type="even"/>
          <w:footerReference r:id="rId40" w:type="even"/>
          <w:pgSz w:w="16838" w:h="11906" w:orient="landscape"/>
          <w:pgMar w:top="1800" w:right="1440" w:bottom="1800" w:left="1440" w:header="851" w:footer="907" w:gutter="0"/>
          <w:pgNumType w:fmt="decimal"/>
          <w:cols w:space="720" w:num="1"/>
          <w:docGrid w:type="lines" w:linePitch="381" w:charSpace="0"/>
        </w:sectPr>
      </w:pPr>
    </w:p>
    <w:p>
      <w:pPr>
        <w:pStyle w:val="18"/>
        <w:rPr>
          <w:color w:val="000000" w:themeColor="text1"/>
          <w14:textFill>
            <w14:solidFill>
              <w14:schemeClr w14:val="tx1"/>
            </w14:solidFill>
          </w14:textFill>
        </w:rPr>
      </w:pPr>
      <w:bookmarkStart w:id="112" w:name="_Toc30309"/>
      <w:bookmarkStart w:id="113" w:name="_Toc43143203"/>
      <w:bookmarkStart w:id="114" w:name="_Toc61"/>
      <w:r>
        <w:rPr>
          <w:color w:val="000000" w:themeColor="text1"/>
          <w14:textFill>
            <w14:solidFill>
              <w14:schemeClr w14:val="tx1"/>
            </w14:solidFill>
          </w14:textFill>
        </w:rPr>
        <w:t>6.3环境应急监测</w:t>
      </w:r>
      <w:bookmarkEnd w:id="112"/>
      <w:bookmarkEnd w:id="113"/>
      <w:bookmarkEnd w:id="114"/>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根据尾矿库可能的突发环境事件情景，结合尾矿库特征污染物的浓度及性质，建立应急监测制度，制定应急监测方案。当发生突发环境事件时，应急监测组应立即按照监测方案开展应急监测工作。由于</w:t>
      </w:r>
      <w:r>
        <w:rPr>
          <w:rFonts w:hint="eastAsia"/>
          <w:color w:val="000000" w:themeColor="text1"/>
          <w14:textFill>
            <w14:solidFill>
              <w14:schemeClr w14:val="tx1"/>
            </w14:solidFill>
          </w14:textFill>
        </w:rPr>
        <w:t>本示范项目云南安宁泰源工贸集团有限公司景洪分公司的</w:t>
      </w:r>
      <w:r>
        <w:rPr>
          <w:color w:val="000000" w:themeColor="text1"/>
          <w14:textFill>
            <w14:solidFill>
              <w14:schemeClr w14:val="tx1"/>
            </w14:solidFill>
          </w14:textFill>
        </w:rPr>
        <w:t>自身监测能力不足，且人手有限，应急监测组应申请第三方监测机构的援助，并配合开展应急监测工作。</w:t>
      </w:r>
    </w:p>
    <w:p>
      <w:pPr>
        <w:pStyle w:val="16"/>
        <w:rPr>
          <w:color w:val="000000" w:themeColor="text1"/>
          <w14:textFill>
            <w14:solidFill>
              <w14:schemeClr w14:val="tx1"/>
            </w14:solidFill>
          </w14:textFill>
        </w:rPr>
      </w:pPr>
      <w:bookmarkStart w:id="115" w:name="_Toc27250"/>
      <w:bookmarkStart w:id="116" w:name="_Toc43143204"/>
      <w:r>
        <w:rPr>
          <w:color w:val="000000" w:themeColor="text1"/>
          <w14:textFill>
            <w14:solidFill>
              <w14:schemeClr w14:val="tx1"/>
            </w14:solidFill>
          </w14:textFill>
        </w:rPr>
        <w:t>6.3.1应急监测方案</w:t>
      </w:r>
      <w:bookmarkEnd w:id="115"/>
      <w:bookmarkEnd w:id="116"/>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尾矿库风险评估报告中可能发生的事故情景，当发生尾矿砂浆外泄、</w:t>
      </w:r>
      <w:r>
        <w:rPr>
          <w:rFonts w:hint="eastAsia"/>
          <w:color w:val="000000" w:themeColor="text1"/>
          <w14:textFill>
            <w14:solidFill>
              <w14:schemeClr w14:val="tx1"/>
            </w14:solidFill>
          </w14:textFill>
        </w:rPr>
        <w:t>尾矿水超标外排、尾矿库渗滤液溢出外排、</w:t>
      </w:r>
      <w:r>
        <w:rPr>
          <w:color w:val="000000" w:themeColor="text1"/>
          <w14:textFill>
            <w14:solidFill>
              <w14:schemeClr w14:val="tx1"/>
            </w14:solidFill>
          </w14:textFill>
        </w:rPr>
        <w:t>尾矿库渗漏、尾矿输送管线泄漏、回水管线泄漏、集水池破损等情景时，尾矿废水可能会对周边农田土壤、</w:t>
      </w:r>
      <w:r>
        <w:rPr>
          <w:rFonts w:hint="eastAsia"/>
          <w:color w:val="000000" w:themeColor="text1"/>
          <w14:textFill>
            <w14:solidFill>
              <w14:schemeClr w14:val="tx1"/>
            </w14:solidFill>
          </w14:textFill>
        </w:rPr>
        <w:t>南坎河</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澜沧</w:t>
      </w:r>
      <w:r>
        <w:rPr>
          <w:color w:val="000000" w:themeColor="text1"/>
          <w14:textFill>
            <w14:solidFill>
              <w14:schemeClr w14:val="tx1"/>
            </w14:solidFill>
          </w14:textFill>
        </w:rPr>
        <w:t>江或地下水水质造成影响。因此制定集水池</w:t>
      </w:r>
      <w:r>
        <w:rPr>
          <w:rFonts w:hint="eastAsia"/>
          <w:color w:val="000000" w:themeColor="text1"/>
          <w14:textFill>
            <w14:solidFill>
              <w14:schemeClr w14:val="tx1"/>
            </w14:solidFill>
          </w14:textFill>
        </w:rPr>
        <w:t>溢水</w:t>
      </w:r>
      <w:r>
        <w:rPr>
          <w:color w:val="000000" w:themeColor="text1"/>
          <w14:textFill>
            <w14:solidFill>
              <w14:schemeClr w14:val="tx1"/>
            </w14:solidFill>
          </w14:textFill>
        </w:rPr>
        <w:t>、地表水、地下水和农田应急监测方案，包括监测点位、因子和频次等。</w:t>
      </w:r>
      <w:r>
        <w:rPr>
          <w:rFonts w:hint="eastAsia"/>
          <w:color w:val="000000" w:themeColor="text1"/>
          <w14:textFill>
            <w14:solidFill>
              <w14:schemeClr w14:val="tx1"/>
            </w14:solidFill>
          </w14:textFill>
        </w:rPr>
        <w:t>本案例尾矿废水不外排，涉及到尾矿水外排的尾矿库企业还应对废水总排口水质进行监测。</w:t>
      </w:r>
      <w:r>
        <w:rPr>
          <w:color w:val="000000" w:themeColor="text1"/>
          <w14:textFill>
            <w14:solidFill>
              <w14:schemeClr w14:val="tx1"/>
            </w14:solidFill>
          </w14:textFill>
        </w:rPr>
        <w:t>具体应急监测方案及监测分析方法见表6.3-1。</w:t>
      </w:r>
    </w:p>
    <w:p>
      <w:pPr>
        <w:pStyle w:val="38"/>
        <w:spacing w:after="190"/>
        <w:rPr>
          <w:rFonts w:cs="Times New Roman"/>
          <w:color w:val="000000" w:themeColor="text1"/>
          <w:sz w:val="24"/>
          <w:szCs w:val="18"/>
          <w14:textFill>
            <w14:solidFill>
              <w14:schemeClr w14:val="tx1"/>
            </w14:solidFill>
          </w14:textFill>
        </w:rPr>
      </w:pPr>
      <w:r>
        <w:rPr>
          <w:rFonts w:cs="Times New Roman"/>
          <w:color w:val="000000" w:themeColor="text1"/>
          <w:sz w:val="24"/>
          <w:szCs w:val="18"/>
          <w14:textFill>
            <w14:solidFill>
              <w14:schemeClr w14:val="tx1"/>
            </w14:solidFill>
          </w14:textFill>
        </w:rPr>
        <w:t>表6.3-1</w:t>
      </w:r>
      <w:bookmarkStart w:id="117" w:name="_Toc3455"/>
      <w:r>
        <w:rPr>
          <w:rFonts w:cs="Times New Roman"/>
          <w:color w:val="000000" w:themeColor="text1"/>
          <w:sz w:val="24"/>
          <w:szCs w:val="18"/>
          <w14:textFill>
            <w14:solidFill>
              <w14:schemeClr w14:val="tx1"/>
            </w14:solidFill>
          </w14:textFill>
        </w:rPr>
        <w:t>尾矿库应急监测方案</w:t>
      </w:r>
    </w:p>
    <w:tbl>
      <w:tblPr>
        <w:tblStyle w:val="31"/>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567"/>
        <w:gridCol w:w="1968"/>
        <w:gridCol w:w="1659"/>
        <w:gridCol w:w="2043"/>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污染源类型</w:t>
            </w:r>
          </w:p>
        </w:tc>
        <w:tc>
          <w:tcPr>
            <w:tcW w:w="567"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序号</w:t>
            </w:r>
          </w:p>
        </w:tc>
        <w:tc>
          <w:tcPr>
            <w:tcW w:w="1968"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监测点位</w:t>
            </w:r>
            <w:r>
              <w:rPr>
                <w:rFonts w:cs="Times New Roman"/>
                <w:b/>
                <w:bCs/>
                <w:color w:val="000000" w:themeColor="text1"/>
                <w:kern w:val="2"/>
                <w:sz w:val="24"/>
                <w:szCs w:val="24"/>
                <w:vertAlign w:val="superscript"/>
                <w14:textFill>
                  <w14:solidFill>
                    <w14:schemeClr w14:val="tx1"/>
                  </w14:solidFill>
                </w14:textFill>
              </w:rPr>
              <w:t>1</w:t>
            </w:r>
          </w:p>
        </w:tc>
        <w:tc>
          <w:tcPr>
            <w:tcW w:w="1659"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监测因子</w:t>
            </w:r>
            <w:r>
              <w:rPr>
                <w:rFonts w:cs="Times New Roman"/>
                <w:b/>
                <w:bCs/>
                <w:color w:val="000000" w:themeColor="text1"/>
                <w:kern w:val="2"/>
                <w:sz w:val="24"/>
                <w:szCs w:val="24"/>
                <w:vertAlign w:val="superscript"/>
                <w14:textFill>
                  <w14:solidFill>
                    <w14:schemeClr w14:val="tx1"/>
                  </w14:solidFill>
                </w14:textFill>
              </w:rPr>
              <w:t>2</w:t>
            </w:r>
          </w:p>
        </w:tc>
        <w:tc>
          <w:tcPr>
            <w:tcW w:w="2043"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监测频次</w:t>
            </w:r>
            <w:r>
              <w:rPr>
                <w:rFonts w:cs="Times New Roman"/>
                <w:b/>
                <w:bCs/>
                <w:color w:val="000000" w:themeColor="text1"/>
                <w:kern w:val="2"/>
                <w:sz w:val="24"/>
                <w:szCs w:val="24"/>
                <w:vertAlign w:val="superscript"/>
                <w14:textFill>
                  <w14:solidFill>
                    <w14:schemeClr w14:val="tx1"/>
                  </w14:solidFill>
                </w14:textFill>
              </w:rPr>
              <w:t>3</w:t>
            </w:r>
          </w:p>
        </w:tc>
        <w:tc>
          <w:tcPr>
            <w:tcW w:w="1323"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tabs>
                <w:tab w:val="right" w:leader="dot" w:pos="8296"/>
              </w:tabs>
              <w:snapToGrid w:val="0"/>
              <w:ind w:firstLine="0" w:firstLineChars="0"/>
              <w:jc w:val="center"/>
              <w:rPr>
                <w:rFonts w:cs="Times New Roman"/>
                <w:bCs/>
                <w:color w:val="000000" w:themeColor="text1"/>
                <w:kern w:val="2"/>
                <w:sz w:val="24"/>
                <w:szCs w:val="24"/>
                <w14:textFill>
                  <w14:solidFill>
                    <w14:schemeClr w14:val="tx1"/>
                  </w14:solidFill>
                </w14:textFill>
              </w:rPr>
            </w:pPr>
            <w:r>
              <w:rPr>
                <w:rFonts w:hint="eastAsia" w:cs="Times New Roman"/>
                <w:bCs/>
                <w:color w:val="000000" w:themeColor="text1"/>
                <w:kern w:val="2"/>
                <w:sz w:val="24"/>
                <w:szCs w:val="24"/>
                <w14:textFill>
                  <w14:solidFill>
                    <w14:schemeClr w14:val="tx1"/>
                  </w14:solidFill>
                </w14:textFill>
              </w:rPr>
              <w:t>尾矿废水</w:t>
            </w:r>
          </w:p>
        </w:tc>
        <w:tc>
          <w:tcPr>
            <w:tcW w:w="567" w:type="dxa"/>
            <w:vAlign w:val="center"/>
          </w:tcPr>
          <w:p>
            <w:pPr>
              <w:tabs>
                <w:tab w:val="right" w:leader="dot" w:pos="8296"/>
              </w:tabs>
              <w:snapToGrid w:val="0"/>
              <w:ind w:firstLine="0" w:firstLineChars="0"/>
              <w:jc w:val="center"/>
              <w:rPr>
                <w:rFonts w:cs="Times New Roman"/>
                <w:bCs/>
                <w:color w:val="000000" w:themeColor="text1"/>
                <w:kern w:val="2"/>
                <w:sz w:val="24"/>
                <w:szCs w:val="24"/>
                <w14:textFill>
                  <w14:solidFill>
                    <w14:schemeClr w14:val="tx1"/>
                  </w14:solidFill>
                </w14:textFill>
              </w:rPr>
            </w:pPr>
            <w:r>
              <w:rPr>
                <w:rFonts w:hint="eastAsia" w:cs="Times New Roman"/>
                <w:bCs/>
                <w:color w:val="000000" w:themeColor="text1"/>
                <w:kern w:val="2"/>
                <w:sz w:val="24"/>
                <w:szCs w:val="24"/>
                <w14:textFill>
                  <w14:solidFill>
                    <w14:schemeClr w14:val="tx1"/>
                  </w14:solidFill>
                </w14:textFill>
              </w:rPr>
              <w:t>1</w:t>
            </w:r>
          </w:p>
        </w:tc>
        <w:tc>
          <w:tcPr>
            <w:tcW w:w="1968"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废水总排口</w:t>
            </w:r>
          </w:p>
        </w:tc>
        <w:tc>
          <w:tcPr>
            <w:tcW w:w="1659" w:type="dxa"/>
            <w:vMerge w:val="restart"/>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pH、SS、COD、氟化物、总氮、总磷、NH</w:t>
            </w:r>
            <w:r>
              <w:rPr>
                <w:rFonts w:cs="Times New Roman"/>
                <w:color w:val="000000" w:themeColor="text1"/>
                <w:kern w:val="2"/>
                <w:sz w:val="24"/>
                <w:szCs w:val="24"/>
                <w:vertAlign w:val="subscript"/>
                <w14:textFill>
                  <w14:solidFill>
                    <w14:schemeClr w14:val="tx1"/>
                  </w14:solidFill>
                </w14:textFill>
              </w:rPr>
              <w:t>3</w:t>
            </w:r>
            <w:r>
              <w:rPr>
                <w:rFonts w:cs="Times New Roman"/>
                <w:color w:val="000000" w:themeColor="text1"/>
                <w:kern w:val="2"/>
                <w:sz w:val="24"/>
                <w:szCs w:val="24"/>
                <w14:textFill>
                  <w14:solidFill>
                    <w14:schemeClr w14:val="tx1"/>
                  </w14:solidFill>
                </w14:textFill>
              </w:rPr>
              <w:t>-N、锌、石油类、铜、硫化物、铅、镉、镍、砷、汞、钴、氰化物、锰、总铬、六价铬</w:t>
            </w:r>
          </w:p>
        </w:tc>
        <w:tc>
          <w:tcPr>
            <w:tcW w:w="2043" w:type="dxa"/>
            <w:vMerge w:val="restart"/>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初期阶段：</w:t>
            </w:r>
            <w:r>
              <w:rPr>
                <w:rFonts w:hint="eastAsia" w:cs="Times New Roman"/>
                <w:color w:val="000000" w:themeColor="text1"/>
                <w:kern w:val="2"/>
                <w:sz w:val="24"/>
                <w:szCs w:val="24"/>
                <w14:textFill>
                  <w14:solidFill>
                    <w14:schemeClr w14:val="tx1"/>
                  </w14:solidFill>
                </w14:textFill>
              </w:rPr>
              <w:t>1次</w:t>
            </w:r>
            <w:r>
              <w:rPr>
                <w:rFonts w:cs="Times New Roman"/>
                <w:color w:val="000000" w:themeColor="text1"/>
                <w:kern w:val="2"/>
                <w:sz w:val="24"/>
                <w:szCs w:val="24"/>
                <w14:textFill>
                  <w14:solidFill>
                    <w14:schemeClr w14:val="tx1"/>
                  </w14:solidFill>
                </w14:textFill>
              </w:rPr>
              <w:t>/</w:t>
            </w:r>
            <w:r>
              <w:rPr>
                <w:rFonts w:hint="eastAsia" w:cs="Times New Roman"/>
                <w:color w:val="000000" w:themeColor="text1"/>
                <w:kern w:val="2"/>
                <w:sz w:val="24"/>
                <w:szCs w:val="24"/>
                <w14:textFill>
                  <w14:solidFill>
                    <w14:schemeClr w14:val="tx1"/>
                  </w14:solidFill>
                </w14:textFill>
              </w:rPr>
              <w:t>h</w:t>
            </w:r>
            <w:r>
              <w:rPr>
                <w:rFonts w:cs="Times New Roman"/>
                <w:color w:val="000000" w:themeColor="text1"/>
                <w:kern w:val="2"/>
                <w:sz w:val="24"/>
                <w:szCs w:val="24"/>
                <w14:textFill>
                  <w14:solidFill>
                    <w14:schemeClr w14:val="tx1"/>
                  </w14:solidFill>
                </w14:textFill>
              </w:rPr>
              <w:t>；</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控制阶段：</w:t>
            </w:r>
            <w:r>
              <w:rPr>
                <w:rFonts w:hint="eastAsia" w:cs="Times New Roman"/>
                <w:color w:val="000000" w:themeColor="text1"/>
                <w:kern w:val="2"/>
                <w:sz w:val="24"/>
                <w:szCs w:val="24"/>
                <w14:textFill>
                  <w14:solidFill>
                    <w14:schemeClr w14:val="tx1"/>
                  </w14:solidFill>
                </w14:textFill>
              </w:rPr>
              <w:t>2次/h</w:t>
            </w:r>
            <w:r>
              <w:rPr>
                <w:rFonts w:cs="Times New Roman"/>
                <w:color w:val="000000" w:themeColor="text1"/>
                <w:kern w:val="2"/>
                <w:sz w:val="24"/>
                <w:szCs w:val="24"/>
                <w14:textFill>
                  <w14:solidFill>
                    <w14:schemeClr w14:val="tx1"/>
                  </w14:solidFill>
                </w14:textFill>
              </w:rPr>
              <w:t>；</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跟踪阶段：1</w:t>
            </w:r>
            <w:r>
              <w:rPr>
                <w:rFonts w:hint="eastAsia" w:cs="Times New Roman"/>
                <w:color w:val="000000" w:themeColor="text1"/>
                <w:kern w:val="2"/>
                <w:sz w:val="24"/>
                <w:szCs w:val="24"/>
                <w14:textFill>
                  <w14:solidFill>
                    <w14:schemeClr w14:val="tx1"/>
                  </w14:solidFill>
                </w14:textFill>
              </w:rPr>
              <w:t>次</w:t>
            </w:r>
            <w:r>
              <w:rPr>
                <w:rFonts w:cs="Times New Roman"/>
                <w:color w:val="000000" w:themeColor="text1"/>
                <w:kern w:val="2"/>
                <w:sz w:val="24"/>
                <w:szCs w:val="24"/>
                <w14:textFill>
                  <w14:solidFill>
                    <w14:schemeClr w14:val="tx1"/>
                  </w14:solidFill>
                </w14:textFill>
              </w:rPr>
              <w:t>/</w:t>
            </w:r>
            <w:r>
              <w:rPr>
                <w:rFonts w:hint="eastAsia" w:cs="Times New Roman"/>
                <w:color w:val="000000" w:themeColor="text1"/>
                <w:kern w:val="2"/>
                <w:sz w:val="24"/>
                <w:szCs w:val="24"/>
                <w14:textFill>
                  <w14:solidFill>
                    <w14:schemeClr w14:val="tx1"/>
                  </w14:solidFill>
                </w14:textFill>
              </w:rPr>
              <w:t>d</w:t>
            </w:r>
            <w:r>
              <w:rPr>
                <w:rFonts w:cs="Times New Roman"/>
                <w:color w:val="000000" w:themeColor="text1"/>
                <w:kern w:val="2"/>
                <w:sz w:val="24"/>
                <w:szCs w:val="24"/>
                <w14:textFill>
                  <w14:solidFill>
                    <w14:schemeClr w14:val="tx1"/>
                  </w14:solidFill>
                </w14:textFill>
              </w:rPr>
              <w:t>，连续7d</w:t>
            </w:r>
          </w:p>
        </w:tc>
        <w:tc>
          <w:tcPr>
            <w:tcW w:w="1323" w:type="dxa"/>
            <w:vAlign w:val="center"/>
          </w:tcPr>
          <w:p>
            <w:pPr>
              <w:tabs>
                <w:tab w:val="right" w:leader="dot" w:pos="8296"/>
              </w:tabs>
              <w:snapToGrid w:val="0"/>
              <w:ind w:firstLine="0" w:firstLineChars="0"/>
              <w:jc w:val="center"/>
              <w:rPr>
                <w:rFonts w:cs="Times New Roman"/>
                <w:bCs/>
                <w:color w:val="000000" w:themeColor="text1"/>
                <w:kern w:val="2"/>
                <w:sz w:val="24"/>
                <w:szCs w:val="24"/>
                <w14:textFill>
                  <w14:solidFill>
                    <w14:schemeClr w14:val="tx1"/>
                  </w14:solidFill>
                </w14:textFill>
              </w:rPr>
            </w:pPr>
            <w:r>
              <w:rPr>
                <w:rFonts w:hint="eastAsia" w:cs="Times New Roman"/>
                <w:bCs/>
                <w:color w:val="000000" w:themeColor="text1"/>
                <w:kern w:val="2"/>
                <w:sz w:val="24"/>
                <w:szCs w:val="24"/>
                <w14:textFill>
                  <w14:solidFill>
                    <w14:schemeClr w14:val="tx1"/>
                  </w14:solidFill>
                </w14:textFill>
              </w:rPr>
              <w:t>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集水池溢水</w:t>
            </w:r>
          </w:p>
        </w:tc>
        <w:tc>
          <w:tcPr>
            <w:tcW w:w="5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1</w:t>
            </w:r>
          </w:p>
        </w:tc>
        <w:tc>
          <w:tcPr>
            <w:tcW w:w="196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集水池</w:t>
            </w:r>
          </w:p>
        </w:tc>
        <w:tc>
          <w:tcPr>
            <w:tcW w:w="1659" w:type="dxa"/>
            <w:vMerge w:val="continue"/>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2043" w:type="dxa"/>
            <w:vMerge w:val="continue"/>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p>
        </w:tc>
        <w:tc>
          <w:tcPr>
            <w:tcW w:w="1323"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回水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Merge w:val="restart"/>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地表水</w:t>
            </w:r>
          </w:p>
        </w:tc>
        <w:tc>
          <w:tcPr>
            <w:tcW w:w="5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1</w:t>
            </w:r>
          </w:p>
        </w:tc>
        <w:tc>
          <w:tcPr>
            <w:tcW w:w="196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南坎河</w:t>
            </w:r>
            <w:r>
              <w:rPr>
                <w:rFonts w:cs="Times New Roman"/>
                <w:color w:val="000000" w:themeColor="text1"/>
                <w:kern w:val="2"/>
                <w:sz w:val="24"/>
                <w:szCs w:val="24"/>
                <w14:textFill>
                  <w14:solidFill>
                    <w14:schemeClr w14:val="tx1"/>
                  </w14:solidFill>
                </w14:textFill>
              </w:rPr>
              <w:t>与</w:t>
            </w:r>
            <w:r>
              <w:rPr>
                <w:rFonts w:hint="eastAsia" w:cs="Times New Roman"/>
                <w:color w:val="000000" w:themeColor="text1"/>
                <w:kern w:val="2"/>
                <w:sz w:val="24"/>
                <w:szCs w:val="24"/>
                <w14:textFill>
                  <w14:solidFill>
                    <w14:schemeClr w14:val="tx1"/>
                  </w14:solidFill>
                </w14:textFill>
              </w:rPr>
              <w:t>南阿</w:t>
            </w:r>
            <w:r>
              <w:rPr>
                <w:rFonts w:cs="Times New Roman"/>
                <w:color w:val="000000" w:themeColor="text1"/>
                <w:kern w:val="2"/>
                <w:sz w:val="24"/>
                <w:szCs w:val="24"/>
                <w14:textFill>
                  <w14:solidFill>
                    <w14:schemeClr w14:val="tx1"/>
                  </w14:solidFill>
                </w14:textFill>
              </w:rPr>
              <w:t>河汇流点上游1000m</w:t>
            </w:r>
          </w:p>
        </w:tc>
        <w:tc>
          <w:tcPr>
            <w:tcW w:w="1659" w:type="dxa"/>
            <w:vMerge w:val="continue"/>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2043" w:type="dxa"/>
            <w:vMerge w:val="restart"/>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1323"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上游来水水质（背景点）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Merge w:val="continue"/>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5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2</w:t>
            </w:r>
          </w:p>
        </w:tc>
        <w:tc>
          <w:tcPr>
            <w:tcW w:w="196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南坎河</w:t>
            </w:r>
            <w:r>
              <w:rPr>
                <w:rFonts w:cs="Times New Roman"/>
                <w:color w:val="000000" w:themeColor="text1"/>
                <w:kern w:val="2"/>
                <w:sz w:val="24"/>
                <w:szCs w:val="24"/>
                <w14:textFill>
                  <w14:solidFill>
                    <w14:schemeClr w14:val="tx1"/>
                  </w14:solidFill>
                </w14:textFill>
              </w:rPr>
              <w:t>与</w:t>
            </w:r>
            <w:r>
              <w:rPr>
                <w:rFonts w:hint="eastAsia" w:cs="Times New Roman"/>
                <w:color w:val="000000" w:themeColor="text1"/>
                <w:kern w:val="2"/>
                <w:sz w:val="24"/>
                <w:szCs w:val="24"/>
                <w14:textFill>
                  <w14:solidFill>
                    <w14:schemeClr w14:val="tx1"/>
                  </w14:solidFill>
                </w14:textFill>
              </w:rPr>
              <w:t>南阿</w:t>
            </w:r>
            <w:r>
              <w:rPr>
                <w:rFonts w:cs="Times New Roman"/>
                <w:color w:val="000000" w:themeColor="text1"/>
                <w:kern w:val="2"/>
                <w:sz w:val="24"/>
                <w:szCs w:val="24"/>
                <w14:textFill>
                  <w14:solidFill>
                    <w14:schemeClr w14:val="tx1"/>
                  </w14:solidFill>
                </w14:textFill>
              </w:rPr>
              <w:t>河汇流点上游200m</w:t>
            </w:r>
          </w:p>
        </w:tc>
        <w:tc>
          <w:tcPr>
            <w:tcW w:w="1659" w:type="dxa"/>
            <w:vMerge w:val="continue"/>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2043" w:type="dxa"/>
            <w:vMerge w:val="continue"/>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1323"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外泄废水与河水混合后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6" w:hRule="atLeast"/>
          <w:jc w:val="center"/>
        </w:trPr>
        <w:tc>
          <w:tcPr>
            <w:tcW w:w="113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土壤</w:t>
            </w:r>
          </w:p>
        </w:tc>
        <w:tc>
          <w:tcPr>
            <w:tcW w:w="567"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p>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w:t>
            </w:r>
          </w:p>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p>
        </w:tc>
        <w:tc>
          <w:tcPr>
            <w:tcW w:w="196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根据突发环境事件实际情况在受污染区域周边设置3~6个土壤采样点</w:t>
            </w:r>
          </w:p>
        </w:tc>
        <w:tc>
          <w:tcPr>
            <w:tcW w:w="1659"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特征污染因子：pH、铜、铅、砷</w:t>
            </w:r>
          </w:p>
        </w:tc>
        <w:tc>
          <w:tcPr>
            <w:tcW w:w="2043"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1次</w:t>
            </w:r>
          </w:p>
        </w:tc>
        <w:tc>
          <w:tcPr>
            <w:tcW w:w="1323"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农田土壤监测点</w:t>
            </w:r>
          </w:p>
        </w:tc>
      </w:tr>
    </w:tbl>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注：1</w:t>
      </w:r>
      <w:r>
        <w:rPr>
          <w:rFonts w:hint="eastAsia" w:cs="Times New Roman"/>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监测点位可根据现场实际情况作适当调整；2</w:t>
      </w:r>
      <w:r>
        <w:rPr>
          <w:rFonts w:hint="eastAsia" w:cs="Times New Roman"/>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监测因子等应根据</w:t>
      </w:r>
      <w:r>
        <w:rPr>
          <w:rFonts w:hint="eastAsia" w:cs="Times New Roman"/>
          <w:color w:val="000000" w:themeColor="text1"/>
          <w:sz w:val="24"/>
          <w:szCs w:val="24"/>
          <w14:textFill>
            <w14:solidFill>
              <w14:schemeClr w14:val="tx1"/>
            </w14:solidFill>
          </w14:textFill>
        </w:rPr>
        <w:t>各企业</w:t>
      </w:r>
      <w:r>
        <w:rPr>
          <w:rFonts w:cs="Times New Roman"/>
          <w:color w:val="000000" w:themeColor="text1"/>
          <w:sz w:val="24"/>
          <w:szCs w:val="24"/>
          <w14:textFill>
            <w14:solidFill>
              <w14:schemeClr w14:val="tx1"/>
            </w14:solidFill>
          </w14:textFill>
        </w:rPr>
        <w:t>尾矿性质、尾矿库规模、环境风险等级、环境风险源、周边环境敏感点等因素增减；3</w:t>
      </w:r>
      <w:r>
        <w:rPr>
          <w:rFonts w:hint="eastAsia" w:cs="Times New Roman"/>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连续两次监测浓度均低于标准值或已接近可忽略水平时可停止监测</w:t>
      </w:r>
      <w:r>
        <w:rPr>
          <w:rFonts w:hint="eastAsia" w:cs="Times New Roman"/>
          <w:color w:val="000000" w:themeColor="text1"/>
          <w:sz w:val="24"/>
          <w:szCs w:val="24"/>
          <w14:textFill>
            <w14:solidFill>
              <w14:schemeClr w14:val="tx1"/>
            </w14:solidFill>
          </w14:textFill>
        </w:rPr>
        <w:t>；4、地表水及土壤的监测分析方法参照《地表水和污水监测技术规范》（HJ/T 91-2002），及《土壤环境质量农用地土壤污染风险管控标准（试行）》（GB 15618-2018）执行</w:t>
      </w:r>
      <w:r>
        <w:rPr>
          <w:rFonts w:cs="Times New Roman"/>
          <w:color w:val="000000" w:themeColor="text1"/>
          <w:sz w:val="24"/>
          <w:szCs w:val="24"/>
          <w14:textFill>
            <w14:solidFill>
              <w14:schemeClr w14:val="tx1"/>
            </w14:solidFill>
          </w14:textFill>
        </w:rPr>
        <w:t>。</w:t>
      </w:r>
    </w:p>
    <w:p>
      <w:pPr>
        <w:pStyle w:val="16"/>
        <w:rPr>
          <w:color w:val="000000" w:themeColor="text1"/>
          <w14:textFill>
            <w14:solidFill>
              <w14:schemeClr w14:val="tx1"/>
            </w14:solidFill>
          </w14:textFill>
        </w:rPr>
      </w:pPr>
      <w:bookmarkStart w:id="118" w:name="_Toc43143205"/>
      <w:bookmarkStart w:id="119" w:name="_Toc16315"/>
      <w:r>
        <w:rPr>
          <w:color w:val="000000" w:themeColor="text1"/>
          <w14:textFill>
            <w14:solidFill>
              <w14:schemeClr w14:val="tx1"/>
            </w14:solidFill>
          </w14:textFill>
        </w:rPr>
        <w:t>6.3.2应急监测保障</w:t>
      </w:r>
      <w:bookmarkEnd w:id="118"/>
      <w:bookmarkEnd w:id="119"/>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应急监测组由4人组成，组长为</w:t>
      </w:r>
      <w:r>
        <w:rPr>
          <w:rFonts w:hint="eastAsia"/>
          <w:color w:val="000000" w:themeColor="text1"/>
          <w:lang w:val="en-US" w:eastAsia="zh-CN"/>
          <w14:textFill>
            <w14:solidFill>
              <w14:schemeClr w14:val="tx1"/>
            </w14:solidFill>
          </w14:textFill>
        </w:rPr>
        <w:t>尾矿库负责人</w:t>
      </w:r>
      <w:r>
        <w:rPr>
          <w:color w:val="000000" w:themeColor="text1"/>
          <w14:textFill>
            <w14:solidFill>
              <w14:schemeClr w14:val="tx1"/>
            </w14:solidFill>
          </w14:textFill>
        </w:rPr>
        <w:t>。选厂备有应急监测专车，车内备有基础的环境应急监测仪器、防护器材及所用试剂等，保证接报后能以最快速度开赴现场实施基础监测工作。应急监测组指定专人负责所属应急监测仪器设备的日常检查、维护和使用，对防护器材进行清点并补充，对所用试剂检查其时效性并进行更新，并做好相关记录，保证仪器设备随时能够正常使用。</w:t>
      </w:r>
    </w:p>
    <w:p>
      <w:pPr>
        <w:ind w:firstLine="560"/>
        <w:rPr>
          <w:rFonts w:cs="Times New Roman"/>
          <w:color w:val="000000" w:themeColor="text1"/>
          <w14:textFill>
            <w14:solidFill>
              <w14:schemeClr w14:val="tx1"/>
            </w14:solidFill>
          </w14:textFill>
        </w:rPr>
      </w:pPr>
      <w:r>
        <w:rPr>
          <w:color w:val="000000" w:themeColor="text1"/>
          <w14:textFill>
            <w14:solidFill>
              <w14:schemeClr w14:val="tx1"/>
            </w14:solidFill>
          </w14:textFill>
        </w:rPr>
        <w:t>当应急响应级别为一级以上，</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自身监测能力不足时，由具有资质的第三方监测机构负责，同时应急监测组配合进行。</w:t>
      </w:r>
    </w:p>
    <w:p>
      <w:pPr>
        <w:pStyle w:val="18"/>
        <w:rPr>
          <w:color w:val="000000" w:themeColor="text1"/>
          <w14:textFill>
            <w14:solidFill>
              <w14:schemeClr w14:val="tx1"/>
            </w14:solidFill>
          </w14:textFill>
        </w:rPr>
      </w:pPr>
      <w:bookmarkStart w:id="120" w:name="_Toc43143206"/>
      <w:bookmarkStart w:id="121" w:name="_Toc12802"/>
      <w:r>
        <w:rPr>
          <w:color w:val="000000" w:themeColor="text1"/>
          <w14:textFill>
            <w14:solidFill>
              <w14:schemeClr w14:val="tx1"/>
            </w14:solidFill>
          </w14:textFill>
        </w:rPr>
        <w:t>6.4处置方案</w:t>
      </w:r>
      <w:bookmarkEnd w:id="117"/>
      <w:bookmarkEnd w:id="120"/>
      <w:bookmarkEnd w:id="121"/>
    </w:p>
    <w:p>
      <w:pPr>
        <w:ind w:firstLine="560"/>
        <w:rPr>
          <w:rFonts w:cs="Times New Roman"/>
          <w:b/>
          <w:color w:val="000000" w:themeColor="text1"/>
          <w:szCs w:val="28"/>
          <w14:textFill>
            <w14:solidFill>
              <w14:schemeClr w14:val="tx1"/>
            </w14:solidFill>
          </w14:textFill>
        </w:rPr>
      </w:pPr>
      <w:r>
        <w:rPr>
          <w:rFonts w:hint="eastAsia"/>
          <w:color w:val="000000" w:themeColor="text1"/>
          <w14:textFill>
            <w14:solidFill>
              <w14:schemeClr w14:val="tx1"/>
            </w14:solidFill>
          </w14:textFill>
        </w:rPr>
        <w:t>根据“3.5尾矿库突发环境事件情景分析，对应的处置方案见表6.4-1~6.4-7。应急处置措施应根据企业尾矿库及周边敏感点实际情况以及输送管线、回水管线走向进行调整。</w:t>
      </w:r>
    </w:p>
    <w:p>
      <w:pPr>
        <w:pStyle w:val="16"/>
        <w:rPr>
          <w:color w:val="000000" w:themeColor="text1"/>
          <w14:textFill>
            <w14:solidFill>
              <w14:schemeClr w14:val="tx1"/>
            </w14:solidFill>
          </w14:textFill>
        </w:rPr>
      </w:pPr>
      <w:bookmarkStart w:id="122" w:name="_Toc27200"/>
      <w:bookmarkStart w:id="123" w:name="_Toc43143207"/>
      <w:r>
        <w:rPr>
          <w:color w:val="000000" w:themeColor="text1"/>
          <w14:textFill>
            <w14:solidFill>
              <w14:schemeClr w14:val="tx1"/>
            </w14:solidFill>
          </w14:textFill>
        </w:rPr>
        <w:t>6.4.</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尾矿砂浆外泄情景处置方案</w:t>
      </w:r>
      <w:bookmarkEnd w:id="122"/>
      <w:bookmarkEnd w:id="123"/>
    </w:p>
    <w:p>
      <w:pPr>
        <w:snapToGrid w:val="0"/>
        <w:ind w:firstLine="0" w:firstLineChars="0"/>
        <w:jc w:val="center"/>
        <w:rPr>
          <w:rFonts w:cs="Times New Roman"/>
          <w:b/>
          <w:bCs/>
          <w:color w:val="000000" w:themeColor="text1"/>
          <w:sz w:val="24"/>
          <w:szCs w:val="18"/>
          <w14:textFill>
            <w14:solidFill>
              <w14:schemeClr w14:val="tx1"/>
            </w14:solidFill>
          </w14:textFill>
        </w:rPr>
      </w:pPr>
      <w:r>
        <w:rPr>
          <w:rFonts w:hint="eastAsia" w:cs="Times New Roman"/>
          <w:b/>
          <w:bCs/>
          <w:color w:val="000000" w:themeColor="text1"/>
          <w:sz w:val="24"/>
          <w:szCs w:val="18"/>
          <w14:textFill>
            <w14:solidFill>
              <w14:schemeClr w14:val="tx1"/>
            </w14:solidFill>
          </w14:textFill>
        </w:rPr>
        <w:t>表6.4-1 尾矿砂浆外泄情景处置方案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1"/>
        <w:gridCol w:w="1942"/>
        <w:gridCol w:w="576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851"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步骤</w:t>
            </w:r>
          </w:p>
        </w:tc>
        <w:tc>
          <w:tcPr>
            <w:tcW w:w="1942" w:type="dxa"/>
            <w:vAlign w:val="center"/>
          </w:tcPr>
          <w:p>
            <w:pPr>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责任人</w:t>
            </w:r>
          </w:p>
        </w:tc>
        <w:tc>
          <w:tcPr>
            <w:tcW w:w="5767" w:type="dxa"/>
            <w:vAlign w:val="center"/>
          </w:tcPr>
          <w:p>
            <w:pPr>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w:t>
            </w:r>
          </w:p>
        </w:tc>
        <w:tc>
          <w:tcPr>
            <w:tcW w:w="1942" w:type="dxa"/>
            <w:vAlign w:val="center"/>
          </w:tcPr>
          <w:p>
            <w:pPr>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767" w:type="dxa"/>
            <w:vAlign w:val="center"/>
          </w:tcPr>
          <w:p>
            <w:pPr>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选厂立即停止选矿作业，停止尾砂扬送作业，将尾砂存入选厂应急事故池。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抢险抢修组、</w:t>
            </w:r>
            <w:r>
              <w:rPr>
                <w:rFonts w:cs="Times New Roman"/>
                <w:color w:val="000000" w:themeColor="text1"/>
                <w:kern w:val="2"/>
                <w:sz w:val="24"/>
                <w:szCs w:val="24"/>
                <w14:textFill>
                  <w14:solidFill>
                    <w14:schemeClr w14:val="tx1"/>
                  </w14:solidFill>
                </w14:textFill>
              </w:rPr>
              <w:t>尾矿班</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立即将外泄的</w:t>
            </w:r>
            <w:r>
              <w:rPr>
                <w:rFonts w:hint="eastAsia" w:cs="Times New Roman"/>
                <w:color w:val="000000" w:themeColor="text1"/>
                <w:kern w:val="2"/>
                <w:sz w:val="24"/>
                <w:szCs w:val="24"/>
                <w14:textFill>
                  <w14:solidFill>
                    <w14:schemeClr w14:val="tx1"/>
                  </w14:solidFill>
                </w14:textFill>
              </w:rPr>
              <w:t>尾矿浆</w:t>
            </w:r>
            <w:r>
              <w:rPr>
                <w:rFonts w:cs="Times New Roman"/>
                <w:color w:val="000000" w:themeColor="text1"/>
                <w:kern w:val="2"/>
                <w:sz w:val="24"/>
                <w:szCs w:val="24"/>
                <w14:textFill>
                  <w14:solidFill>
                    <w14:schemeClr w14:val="tx1"/>
                  </w14:solidFill>
                </w14:textFill>
              </w:rPr>
              <w:t>导入尾矿库坝下事故池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3</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立即报告公司安环部及应急救援指挥中心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4</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安环部部长、应急救援指挥中心</w:t>
            </w:r>
            <w:r>
              <w:rPr>
                <w:rFonts w:cs="Times New Roman"/>
                <w:color w:val="000000" w:themeColor="text1"/>
                <w:kern w:val="2"/>
                <w:sz w:val="24"/>
                <w:szCs w:val="24"/>
                <w14:textFill>
                  <w14:solidFill>
                    <w14:schemeClr w14:val="tx1"/>
                  </w14:solidFill>
                </w14:textFill>
              </w:rPr>
              <w:t>总指挥</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安排尾矿工查找泄漏点；组织公司工程技术人员查找原因；根据分析的泄漏原因，确定应急处置方案，并报告应急总指挥；通知所有应急小组到尾矿库待命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5</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抢险抢修组</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遵照《云南安宁泰源工贸集团有限公司景洪分公司尾矿库生产安全事故应急预案》处置措施对外协位置进行封堵和加固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6</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指挥协调组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选厂厂长</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分析可能泄漏的总量，如超出尾矿库事故池总量，立即组织人员、工程车辆在尾矿库下游285m修筑拦挡坝。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7</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对总排口外排水进行取样监测；跟进尾矿浆外泄情况，对污染区域及周边农田、地表水及河道汇入口上下游进行取样监测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8</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后勤保障组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应急监测组</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如尾矿浆外泄至外部水环境，应立即通报村民停止饮用井水，并检测水质，投放药剂，待影响消除后再恢复使用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9</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应急监测组、抢险救援组、后勤保障组</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根据外泄砂浆量，紧急调运挖机在坝下500m及下游南坎河汇入口处修筑拦挡坝或应急置污塘；在外泄砂浆区域及置污塘投加药剂；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851"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10</w:t>
            </w:r>
          </w:p>
        </w:tc>
        <w:tc>
          <w:tcPr>
            <w:tcW w:w="194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应急救援指挥中心</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后勤保障组</w:t>
            </w:r>
          </w:p>
        </w:tc>
        <w:tc>
          <w:tcPr>
            <w:tcW w:w="5767"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根据事故情况，如无法有效控制污染物外排，应及时报告景洪市勐龙镇政府及生态环境局，并通知可能污染遭受污染的企业、村庄及乡镇。</w:t>
            </w:r>
          </w:p>
        </w:tc>
      </w:tr>
    </w:tbl>
    <w:p>
      <w:pPr>
        <w:ind w:firstLine="0" w:firstLineChars="0"/>
        <w:rPr>
          <w:color w:val="000000" w:themeColor="text1"/>
          <w:sz w:val="32"/>
          <w14:textFill>
            <w14:solidFill>
              <w14:schemeClr w14:val="tx1"/>
            </w14:solidFill>
          </w14:textFill>
        </w:rPr>
      </w:pPr>
      <w:bookmarkStart w:id="124" w:name="_Toc11438"/>
      <w:r>
        <w:rPr>
          <w:rFonts w:hint="eastAsia" w:cs="Times New Roman"/>
          <w:color w:val="000000" w:themeColor="text1"/>
          <w:sz w:val="24"/>
          <w:szCs w:val="24"/>
          <w14:textFill>
            <w14:solidFill>
              <w14:schemeClr w14:val="tx1"/>
            </w14:solidFill>
          </w14:textFill>
        </w:rPr>
        <w:t>注：应急处置措施应根据项目尾矿库及周边敏感点实际情况进行调整。</w:t>
      </w:r>
    </w:p>
    <w:p>
      <w:pPr>
        <w:pStyle w:val="16"/>
        <w:rPr>
          <w:color w:val="000000" w:themeColor="text1"/>
          <w14:textFill>
            <w14:solidFill>
              <w14:schemeClr w14:val="tx1"/>
            </w14:solidFill>
          </w14:textFill>
        </w:rPr>
      </w:pPr>
      <w:bookmarkStart w:id="125" w:name="_Toc43143208"/>
      <w:r>
        <w:rPr>
          <w:color w:val="000000" w:themeColor="text1"/>
          <w14:textFill>
            <w14:solidFill>
              <w14:schemeClr w14:val="tx1"/>
            </w14:solidFill>
          </w14:textFill>
        </w:rPr>
        <w:t>6.4.</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尾矿</w:t>
      </w:r>
      <w:r>
        <w:rPr>
          <w:rFonts w:hint="eastAsia"/>
          <w:color w:val="000000" w:themeColor="text1"/>
          <w14:textFill>
            <w14:solidFill>
              <w14:schemeClr w14:val="tx1"/>
            </w14:solidFill>
          </w14:textFill>
        </w:rPr>
        <w:t>水</w:t>
      </w:r>
      <w:r>
        <w:rPr>
          <w:color w:val="000000" w:themeColor="text1"/>
          <w14:textFill>
            <w14:solidFill>
              <w14:schemeClr w14:val="tx1"/>
            </w14:solidFill>
          </w14:textFill>
        </w:rPr>
        <w:t>超标外排情景处置方案</w:t>
      </w:r>
      <w:bookmarkEnd w:id="125"/>
    </w:p>
    <w:p>
      <w:pPr>
        <w:pStyle w:val="38"/>
        <w:snapToGrid w:val="0"/>
        <w:spacing w:afterLine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表6.4-2 尾矿水超标外排情景</w:t>
      </w:r>
      <w:r>
        <w:rPr>
          <w:rFonts w:hint="eastAsia" w:cs="Times New Roman"/>
          <w:color w:val="000000" w:themeColor="text1"/>
          <w:sz w:val="24"/>
          <w:szCs w:val="24"/>
          <w14:textFill>
            <w14:solidFill>
              <w14:schemeClr w14:val="tx1"/>
            </w14:solidFill>
          </w14:textFill>
        </w:rPr>
        <w:t>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0"/>
        <w:gridCol w:w="1802"/>
        <w:gridCol w:w="53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00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步骤</w:t>
            </w:r>
          </w:p>
        </w:tc>
        <w:tc>
          <w:tcPr>
            <w:tcW w:w="1802"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责任人</w:t>
            </w:r>
          </w:p>
        </w:tc>
        <w:tc>
          <w:tcPr>
            <w:tcW w:w="5386"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选厂立即停止选矿作业，停止尾砂扬送作业，将尾砂存入选厂应急事故池。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抢险抢修组、</w:t>
            </w:r>
            <w:r>
              <w:rPr>
                <w:rFonts w:cs="Times New Roman"/>
                <w:color w:val="000000" w:themeColor="text1"/>
                <w:kern w:val="2"/>
                <w:sz w:val="24"/>
                <w:szCs w:val="24"/>
                <w14:textFill>
                  <w14:solidFill>
                    <w14:schemeClr w14:val="tx1"/>
                  </w14:solidFill>
                </w14:textFill>
              </w:rPr>
              <w:t>尾矿班</w:t>
            </w:r>
          </w:p>
        </w:tc>
        <w:tc>
          <w:tcPr>
            <w:tcW w:w="5386"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立即将超标污水导入尾矿库坝下事故池</w:t>
            </w:r>
            <w:r>
              <w:rPr>
                <w:rFonts w:hint="eastAsia" w:cs="Times New Roman"/>
                <w:color w:val="000000" w:themeColor="text1"/>
                <w:kern w:val="2"/>
                <w:sz w:val="24"/>
                <w:szCs w:val="24"/>
                <w14:textFill>
                  <w14:solidFill>
                    <w14:schemeClr w14:val="tx1"/>
                  </w14:solidFill>
                </w14:textFill>
              </w:rPr>
              <w:t>；启动坝下水泵，将超标污水返回至尾矿库库内。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3</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立即报告公司安环部及应急指挥中心。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4</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立即对超标污水进行取样监测，并查找超标原因。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5</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后勤保障组</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在尾矿库澄清水域加投絮凝剂，降低污染浓度。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6</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p>
        </w:tc>
        <w:tc>
          <w:tcPr>
            <w:tcW w:w="5386"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周边农田、地表水及河道汇入口上下游进行取样监测。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7</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后勤保障组</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当超标污水污染下游水环境时，应对下游受污染的南坎河投加药剂。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8</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后勤保障组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应急监测组</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当超标污水污染下游水环境时，应立即通报村民停止饮用井水，并检测水质，投放药剂，待影响消除后再恢复使用</w:t>
            </w:r>
          </w:p>
        </w:tc>
      </w:tr>
    </w:tbl>
    <w:p>
      <w:pPr>
        <w:ind w:firstLine="0" w:firstLineChars="0"/>
        <w:rPr>
          <w:rFonts w:eastAsia="华文楷体"/>
          <w:color w:val="000000" w:themeColor="text1"/>
          <w:sz w:val="32"/>
          <w14:textFill>
            <w14:solidFill>
              <w14:schemeClr w14:val="tx1"/>
            </w14:solidFill>
          </w14:textFill>
        </w:rPr>
      </w:pPr>
      <w:r>
        <w:rPr>
          <w:rFonts w:hint="eastAsia" w:cs="Times New Roman"/>
          <w:color w:val="000000" w:themeColor="text1"/>
          <w:sz w:val="24"/>
          <w:szCs w:val="24"/>
          <w14:textFill>
            <w14:solidFill>
              <w14:schemeClr w14:val="tx1"/>
            </w14:solidFill>
          </w14:textFill>
        </w:rPr>
        <w:t>注：应急处置措施应根据项目尾矿库及周边敏感点实际情况进行调整。</w:t>
      </w:r>
    </w:p>
    <w:p>
      <w:pPr>
        <w:pStyle w:val="16"/>
        <w:rPr>
          <w:color w:val="000000" w:themeColor="text1"/>
          <w14:textFill>
            <w14:solidFill>
              <w14:schemeClr w14:val="tx1"/>
            </w14:solidFill>
          </w14:textFill>
        </w:rPr>
      </w:pPr>
      <w:bookmarkStart w:id="126" w:name="_Toc43143209"/>
      <w:r>
        <w:rPr>
          <w:color w:val="000000" w:themeColor="text1"/>
          <w14:textFill>
            <w14:solidFill>
              <w14:schemeClr w14:val="tx1"/>
            </w14:solidFill>
          </w14:textFill>
        </w:rPr>
        <w:t>6.4.3尾矿库</w:t>
      </w:r>
      <w:r>
        <w:rPr>
          <w:rFonts w:hint="eastAsia"/>
          <w:color w:val="000000" w:themeColor="text1"/>
          <w14:textFill>
            <w14:solidFill>
              <w14:schemeClr w14:val="tx1"/>
            </w14:solidFill>
          </w14:textFill>
        </w:rPr>
        <w:t>渗滤液溢出外排</w:t>
      </w:r>
      <w:r>
        <w:rPr>
          <w:color w:val="000000" w:themeColor="text1"/>
          <w14:textFill>
            <w14:solidFill>
              <w14:schemeClr w14:val="tx1"/>
            </w14:solidFill>
          </w14:textFill>
        </w:rPr>
        <w:t>情景处置方案</w:t>
      </w:r>
      <w:bookmarkEnd w:id="124"/>
      <w:bookmarkEnd w:id="126"/>
    </w:p>
    <w:p>
      <w:pPr>
        <w:pStyle w:val="38"/>
        <w:snapToGrid w:val="0"/>
        <w:spacing w:afterLine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 xml:space="preserve">表6.4-3 </w:t>
      </w:r>
      <w:r>
        <w:rPr>
          <w:rFonts w:hint="eastAsia" w:cs="Times New Roman"/>
          <w:color w:val="000000" w:themeColor="text1"/>
          <w:sz w:val="24"/>
          <w:szCs w:val="24"/>
          <w14:textFill>
            <w14:solidFill>
              <w14:schemeClr w14:val="tx1"/>
            </w14:solidFill>
          </w14:textFill>
        </w:rPr>
        <w:t>尾矿库</w:t>
      </w:r>
      <w:r>
        <w:rPr>
          <w:rFonts w:cs="Times New Roman"/>
          <w:color w:val="000000" w:themeColor="text1"/>
          <w:sz w:val="24"/>
          <w:szCs w:val="24"/>
          <w14:textFill>
            <w14:solidFill>
              <w14:schemeClr w14:val="tx1"/>
            </w14:solidFill>
          </w14:textFill>
        </w:rPr>
        <w:t>渗滤液溢出外排情景</w:t>
      </w:r>
      <w:r>
        <w:rPr>
          <w:rFonts w:hint="eastAsia" w:cs="Times New Roman"/>
          <w:color w:val="000000" w:themeColor="text1"/>
          <w:sz w:val="24"/>
          <w:szCs w:val="24"/>
          <w14:textFill>
            <w14:solidFill>
              <w14:schemeClr w14:val="tx1"/>
            </w14:solidFill>
          </w14:textFill>
        </w:rPr>
        <w:t>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0"/>
        <w:gridCol w:w="1802"/>
        <w:gridCol w:w="53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00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步骤</w:t>
            </w:r>
          </w:p>
        </w:tc>
        <w:tc>
          <w:tcPr>
            <w:tcW w:w="1802"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责任人</w:t>
            </w:r>
          </w:p>
        </w:tc>
        <w:tc>
          <w:tcPr>
            <w:tcW w:w="5386"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选厂立即停止选矿作业，停止尾砂扬送作业，将尾砂存入选厂应急事故池。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抢险抢修组、</w:t>
            </w:r>
            <w:r>
              <w:rPr>
                <w:rFonts w:cs="Times New Roman"/>
                <w:color w:val="000000" w:themeColor="text1"/>
                <w:kern w:val="2"/>
                <w:sz w:val="24"/>
                <w:szCs w:val="24"/>
                <w14:textFill>
                  <w14:solidFill>
                    <w14:schemeClr w14:val="tx1"/>
                  </w14:solidFill>
                </w14:textFill>
              </w:rPr>
              <w:t>尾矿班</w:t>
            </w:r>
          </w:p>
        </w:tc>
        <w:tc>
          <w:tcPr>
            <w:tcW w:w="5386"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启动备用水泵，将集水池内渗滤液泵回至尾矿库库内。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3</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立即报告公司安环部及应急指挥中心。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4</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对外溢区域周边农田、地表水及河道汇入口上下游进行取样监测。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5</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后勤保障组</w:t>
            </w:r>
          </w:p>
        </w:tc>
        <w:tc>
          <w:tcPr>
            <w:tcW w:w="5386"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当外溢渗滤液污染下游水环境时，应对下游受污染的南坎河投加药剂。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6</w:t>
            </w:r>
          </w:p>
        </w:tc>
        <w:tc>
          <w:tcPr>
            <w:tcW w:w="1802"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后勤保障组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应急监测组</w:t>
            </w:r>
          </w:p>
        </w:tc>
        <w:tc>
          <w:tcPr>
            <w:tcW w:w="5386"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应立即通报村民停止饮用井水，并检测水质，投放药剂，待影响消除后再恢复使用</w:t>
            </w:r>
          </w:p>
        </w:tc>
      </w:tr>
    </w:tbl>
    <w:p>
      <w:pPr>
        <w:ind w:firstLine="0" w:firstLineChars="0"/>
        <w:rPr>
          <w:rFonts w:eastAsia="华文楷体"/>
          <w:color w:val="000000" w:themeColor="text1"/>
          <w:sz w:val="32"/>
          <w14:textFill>
            <w14:solidFill>
              <w14:schemeClr w14:val="tx1"/>
            </w14:solidFill>
          </w14:textFill>
        </w:rPr>
      </w:pPr>
      <w:bookmarkStart w:id="127" w:name="_Toc10329"/>
      <w:r>
        <w:rPr>
          <w:rFonts w:hint="eastAsia" w:cs="Times New Roman"/>
          <w:color w:val="000000" w:themeColor="text1"/>
          <w:sz w:val="24"/>
          <w:szCs w:val="24"/>
          <w14:textFill>
            <w14:solidFill>
              <w14:schemeClr w14:val="tx1"/>
            </w14:solidFill>
          </w14:textFill>
        </w:rPr>
        <w:t>注：应急处置措施应根据项目尾矿库及周边敏感点实际情况进行调整。</w:t>
      </w:r>
    </w:p>
    <w:p>
      <w:pPr>
        <w:pStyle w:val="16"/>
        <w:rPr>
          <w:color w:val="000000" w:themeColor="text1"/>
          <w14:textFill>
            <w14:solidFill>
              <w14:schemeClr w14:val="tx1"/>
            </w14:solidFill>
          </w14:textFill>
        </w:rPr>
      </w:pPr>
      <w:bookmarkStart w:id="128" w:name="_Toc43143210"/>
      <w:r>
        <w:rPr>
          <w:color w:val="000000" w:themeColor="text1"/>
          <w14:textFill>
            <w14:solidFill>
              <w14:schemeClr w14:val="tx1"/>
            </w14:solidFill>
          </w14:textFill>
        </w:rPr>
        <w:t>6.4.4尾矿输送管线泄漏情景处置方案</w:t>
      </w:r>
      <w:bookmarkEnd w:id="127"/>
      <w:bookmarkEnd w:id="128"/>
    </w:p>
    <w:p>
      <w:pPr>
        <w:snapToGrid w:val="0"/>
        <w:ind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表6.4-4 尾矿输送管线泄漏情景</w:t>
      </w:r>
      <w:r>
        <w:rPr>
          <w:rFonts w:hint="eastAsia" w:cs="Times New Roman"/>
          <w:b/>
          <w:color w:val="000000" w:themeColor="text1"/>
          <w:sz w:val="24"/>
          <w:szCs w:val="24"/>
          <w14:textFill>
            <w14:solidFill>
              <w14:schemeClr w14:val="tx1"/>
            </w14:solidFill>
          </w14:textFill>
        </w:rPr>
        <w:t>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0"/>
        <w:gridCol w:w="1518"/>
        <w:gridCol w:w="567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00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步骤</w:t>
            </w:r>
          </w:p>
        </w:tc>
        <w:tc>
          <w:tcPr>
            <w:tcW w:w="1518"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责任人</w:t>
            </w:r>
          </w:p>
        </w:tc>
        <w:tc>
          <w:tcPr>
            <w:tcW w:w="567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选厂立即停止选矿作业，停止尾砂扬送作业，将尾砂存入选厂应急事故池。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立即报告公司安环部及应急指挥中心。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bookmarkStart w:id="129" w:name="_Hlk26301725"/>
            <w:r>
              <w:rPr>
                <w:rFonts w:hint="eastAsia" w:cs="Times New Roman"/>
                <w:color w:val="000000" w:themeColor="text1"/>
                <w:kern w:val="2"/>
                <w:sz w:val="24"/>
                <w:szCs w:val="24"/>
                <w14:textFill>
                  <w14:solidFill>
                    <w14:schemeClr w14:val="tx1"/>
                  </w14:solidFill>
                </w14:textFill>
              </w:rPr>
              <w:t>3</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指挥协调组、抢修抢险组、</w:t>
            </w:r>
            <w:r>
              <w:rPr>
                <w:rFonts w:cs="Times New Roman"/>
                <w:color w:val="000000" w:themeColor="text1"/>
                <w:kern w:val="2"/>
                <w:sz w:val="24"/>
                <w:szCs w:val="24"/>
                <w14:textFill>
                  <w14:solidFill>
                    <w14:schemeClr w14:val="tx1"/>
                  </w14:solidFill>
                </w14:textFill>
              </w:rPr>
              <w:t>应急监测组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后勤保障组</w:t>
            </w:r>
          </w:p>
        </w:tc>
        <w:tc>
          <w:tcPr>
            <w:tcW w:w="5670"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调集选厂应急队伍、清理泄漏尾砂；安排维修人员携带电焊机及相关的维修材料配件赶赴现场；对污染水体投加药剂。针对不同泄漏地点：</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a.道路路肩边渠内：采用橡胶垫和抱箍对管道进行修复；在边渠内投加药剂；用铲子将泄漏尾矿浆收集运送至尾矿库；</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b.地表过路段：采用橡胶垫和抱箍对管道进行修复；在尾矿浆流经区域投加药剂；用铲子将泄漏尾矿浆、受污染土壤收集运送至尾矿库；</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c.村庄、农田处：对居民进行警戒和疏导；采用橡胶垫和抱箍对管道进行修复；在尾矿浆流经区域投加药剂；用铲子将泄漏尾矿浆、受污染土壤收集运送至尾矿库；</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d.埋河段：泄漏点下游200m处修置污塘收集尾矿，将南坎河水与尾矿隔离；采用橡胶垫和抱箍对管道进行修复；在置污塘内投加药剂；监测泄漏点上游50m、置污塘内、泄漏点下游500m的地表水样本；</w:t>
            </w:r>
          </w:p>
        </w:tc>
      </w:tr>
      <w:bookmarkEnd w:id="129"/>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4</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对沿管线走向周边农田、地表水及河道汇入口上下游进行取样监测。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5</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后勤保障组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应急监测组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应立即通报村民停止饮用井水，并检测水质，投放药剂，待影响消除后再恢复使用</w:t>
            </w:r>
          </w:p>
        </w:tc>
      </w:tr>
    </w:tbl>
    <w:p>
      <w:pPr>
        <w:snapToGrid w:val="0"/>
        <w:spacing w:before="120" w:after="120"/>
        <w:ind w:firstLine="0" w:firstLineChars="0"/>
        <w:rPr>
          <w:rFonts w:eastAsia="华文楷体"/>
          <w:color w:val="000000" w:themeColor="text1"/>
          <w:sz w:val="32"/>
          <w14:textFill>
            <w14:solidFill>
              <w14:schemeClr w14:val="tx1"/>
            </w14:solidFill>
          </w14:textFill>
        </w:rPr>
      </w:pPr>
      <w:bookmarkStart w:id="130" w:name="_Toc4136"/>
      <w:r>
        <w:rPr>
          <w:rFonts w:hint="eastAsia" w:cs="Times New Roman"/>
          <w:color w:val="000000" w:themeColor="text1"/>
          <w:sz w:val="24"/>
          <w:szCs w:val="24"/>
          <w14:textFill>
            <w14:solidFill>
              <w14:schemeClr w14:val="tx1"/>
            </w14:solidFill>
          </w14:textFill>
        </w:rPr>
        <w:t>注：应急处置措施应根据项目尾矿库及周边敏感点实际情况以及输送管线走向进行调整。</w:t>
      </w:r>
    </w:p>
    <w:p>
      <w:pPr>
        <w:pStyle w:val="16"/>
        <w:rPr>
          <w:color w:val="000000" w:themeColor="text1"/>
          <w14:textFill>
            <w14:solidFill>
              <w14:schemeClr w14:val="tx1"/>
            </w14:solidFill>
          </w14:textFill>
        </w:rPr>
      </w:pPr>
      <w:bookmarkStart w:id="131" w:name="_Toc43143211"/>
      <w:r>
        <w:rPr>
          <w:color w:val="000000" w:themeColor="text1"/>
          <w14:textFill>
            <w14:solidFill>
              <w14:schemeClr w14:val="tx1"/>
            </w14:solidFill>
          </w14:textFill>
        </w:rPr>
        <w:t>6.4.5回水管线泄漏情景处置方案</w:t>
      </w:r>
      <w:bookmarkEnd w:id="130"/>
      <w:bookmarkEnd w:id="131"/>
    </w:p>
    <w:p>
      <w:pPr>
        <w:ind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表6.4-5 回水管线泄漏情景</w:t>
      </w:r>
      <w:r>
        <w:rPr>
          <w:rFonts w:hint="eastAsia" w:cs="Times New Roman"/>
          <w:b/>
          <w:color w:val="000000" w:themeColor="text1"/>
          <w:sz w:val="24"/>
          <w:szCs w:val="24"/>
          <w14:textFill>
            <w14:solidFill>
              <w14:schemeClr w14:val="tx1"/>
            </w14:solidFill>
          </w14:textFill>
        </w:rPr>
        <w:t>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0"/>
        <w:gridCol w:w="1518"/>
        <w:gridCol w:w="567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00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步骤</w:t>
            </w:r>
          </w:p>
        </w:tc>
        <w:tc>
          <w:tcPr>
            <w:tcW w:w="1518"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责任人</w:t>
            </w:r>
          </w:p>
        </w:tc>
        <w:tc>
          <w:tcPr>
            <w:tcW w:w="567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选厂厂长</w:t>
            </w:r>
          </w:p>
        </w:tc>
        <w:tc>
          <w:tcPr>
            <w:tcW w:w="5670" w:type="dxa"/>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选厂立即停止选矿作业，停止尾砂扬送作业，将尾砂存入选厂应急事故池。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立即通知水泵停机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立即报告公司安环部及应急指挥中心。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4</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对沿管线走向周边农田、地表水及河道汇入口上下游进行取样监测。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5</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指挥协调组、抢修抢险组、</w:t>
            </w:r>
            <w:r>
              <w:rPr>
                <w:rFonts w:cs="Times New Roman"/>
                <w:color w:val="000000" w:themeColor="text1"/>
                <w:kern w:val="2"/>
                <w:sz w:val="24"/>
                <w:szCs w:val="24"/>
                <w14:textFill>
                  <w14:solidFill>
                    <w14:schemeClr w14:val="tx1"/>
                  </w14:solidFill>
                </w14:textFill>
              </w:rPr>
              <w:t>应急监测组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后勤保障组</w:t>
            </w:r>
          </w:p>
        </w:tc>
        <w:tc>
          <w:tcPr>
            <w:tcW w:w="5670" w:type="dxa"/>
            <w:vAlign w:val="center"/>
          </w:tcPr>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调集选厂应急队伍、清理泄漏回水；安排维修人员携带电焊机及相关的维修材料配件赶赴现场，维修回水管路；对污染水体投加药剂；针对不同泄漏地点：</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a.道路路肩边渠内：采用橡胶垫和抱箍对管道进行修复；在边渠内投加药剂；</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b.地表过路段：采用橡胶垫和抱箍对管道进行修复；在尾矿库事故点下游破土开挖临时事故储池和导流沟；对泄漏点、导流沟、临时事故储池以及受污染土壤投加药剂；将收集到的受污染土壤转移运至尾矿库，同时对地表临时事故储池进行修复；</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c.村庄、农田处：采用橡胶垫和抱箍对管道进行修复；监测农田土壤是否超标；检测结果显示超标，将污水经流区域进行围堵，投加药剂；将受污染土壤转移运至尾矿库；</w:t>
            </w:r>
          </w:p>
          <w:p>
            <w:pPr>
              <w:tabs>
                <w:tab w:val="right" w:leader="dot" w:pos="8296"/>
              </w:tabs>
              <w:snapToGrid w:val="0"/>
              <w:ind w:firstLine="0" w:firstLineChars="0"/>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d.埋河段：泄漏点下游100m处修建围堰；采用橡胶垫和抱箍对管道进行修复；在置污塘内投加药剂；监测泄漏点上游50m、置污塘内、泄漏点下游500m的地表水样本；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6</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后勤保障组</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kern w:val="2"/>
                <w:sz w:val="24"/>
                <w:szCs w:val="24"/>
                <w14:textFill>
                  <w14:solidFill>
                    <w14:schemeClr w14:val="tx1"/>
                  </w14:solidFill>
                </w14:textFill>
              </w:rPr>
              <w:t>应急监测组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应立即通报村民停止饮用井水，并检测水质，投放药剂，待影响消除后再恢复使用</w:t>
            </w:r>
          </w:p>
        </w:tc>
      </w:tr>
    </w:tbl>
    <w:p>
      <w:pPr>
        <w:snapToGrid w:val="0"/>
        <w:spacing w:before="120" w:after="120"/>
        <w:ind w:firstLine="0" w:firstLineChars="0"/>
        <w:rPr>
          <w:rFonts w:cs="Times New Roman"/>
          <w:color w:val="000000" w:themeColor="text1"/>
          <w:sz w:val="24"/>
          <w:szCs w:val="24"/>
          <w14:textFill>
            <w14:solidFill>
              <w14:schemeClr w14:val="tx1"/>
            </w14:solidFill>
          </w14:textFill>
        </w:rPr>
      </w:pPr>
      <w:bookmarkStart w:id="132" w:name="_Toc7481"/>
      <w:r>
        <w:rPr>
          <w:rFonts w:hint="eastAsia" w:cs="Times New Roman"/>
          <w:color w:val="000000" w:themeColor="text1"/>
          <w:sz w:val="24"/>
          <w:szCs w:val="24"/>
          <w14:textFill>
            <w14:solidFill>
              <w14:schemeClr w14:val="tx1"/>
            </w14:solidFill>
          </w14:textFill>
        </w:rPr>
        <w:t>注：应急处置措施应根据项目尾矿库及周边敏感点实际情况以及回水管线走向进行调整。</w:t>
      </w:r>
    </w:p>
    <w:p>
      <w:pPr>
        <w:pStyle w:val="16"/>
        <w:rPr>
          <w:color w:val="000000" w:themeColor="text1"/>
          <w14:textFill>
            <w14:solidFill>
              <w14:schemeClr w14:val="tx1"/>
            </w14:solidFill>
          </w14:textFill>
        </w:rPr>
      </w:pPr>
      <w:bookmarkStart w:id="133" w:name="_Toc43143212"/>
      <w:r>
        <w:rPr>
          <w:color w:val="000000" w:themeColor="text1"/>
          <w14:textFill>
            <w14:solidFill>
              <w14:schemeClr w14:val="tx1"/>
            </w14:solidFill>
          </w14:textFill>
        </w:rPr>
        <w:t>6.4.6尾矿库</w:t>
      </w:r>
      <w:r>
        <w:rPr>
          <w:rFonts w:hint="eastAsia"/>
          <w:color w:val="000000" w:themeColor="text1"/>
          <w14:textFill>
            <w14:solidFill>
              <w14:schemeClr w14:val="tx1"/>
            </w14:solidFill>
          </w14:textFill>
        </w:rPr>
        <w:t>渗漏</w:t>
      </w:r>
      <w:r>
        <w:rPr>
          <w:color w:val="000000" w:themeColor="text1"/>
          <w14:textFill>
            <w14:solidFill>
              <w14:schemeClr w14:val="tx1"/>
            </w14:solidFill>
          </w14:textFill>
        </w:rPr>
        <w:t>情景处置方案</w:t>
      </w:r>
      <w:bookmarkEnd w:id="132"/>
      <w:bookmarkEnd w:id="133"/>
    </w:p>
    <w:p>
      <w:pPr>
        <w:ind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表6.4-6 尾矿库渗漏情景</w:t>
      </w:r>
      <w:r>
        <w:rPr>
          <w:rFonts w:hint="eastAsia" w:cs="Times New Roman"/>
          <w:b/>
          <w:color w:val="000000" w:themeColor="text1"/>
          <w:sz w:val="24"/>
          <w:szCs w:val="24"/>
          <w14:textFill>
            <w14:solidFill>
              <w14:schemeClr w14:val="tx1"/>
            </w14:solidFill>
          </w14:textFill>
        </w:rPr>
        <w:t>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0"/>
        <w:gridCol w:w="1518"/>
        <w:gridCol w:w="567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00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步骤</w:t>
            </w:r>
          </w:p>
        </w:tc>
        <w:tc>
          <w:tcPr>
            <w:tcW w:w="1518"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责任人</w:t>
            </w:r>
          </w:p>
        </w:tc>
        <w:tc>
          <w:tcPr>
            <w:tcW w:w="5670" w:type="dxa"/>
            <w:vAlign w:val="center"/>
          </w:tcPr>
          <w:p>
            <w:pPr>
              <w:tabs>
                <w:tab w:val="right" w:leader="dot" w:pos="8296"/>
              </w:tabs>
              <w:snapToGrid w:val="0"/>
              <w:ind w:firstLine="0" w:firstLineChars="0"/>
              <w:jc w:val="center"/>
              <w:rPr>
                <w:rFonts w:cs="Times New Roman"/>
                <w:b/>
                <w:bCs/>
                <w:color w:val="000000" w:themeColor="text1"/>
                <w:kern w:val="2"/>
                <w:sz w:val="24"/>
                <w:szCs w:val="24"/>
                <w14:textFill>
                  <w14:solidFill>
                    <w14:schemeClr w14:val="tx1"/>
                  </w14:solidFill>
                </w14:textFill>
              </w:rPr>
            </w:pPr>
            <w:r>
              <w:rPr>
                <w:rFonts w:cs="Times New Roman"/>
                <w:b/>
                <w:bCs/>
                <w:color w:val="000000" w:themeColor="text1"/>
                <w:kern w:val="2"/>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1</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选厂立即停止选矿作业，停止砂泵扬送作业。将尾矿浆存入选厂应急事故池。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2</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选厂厂长</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立即报告公司安环部及应急指挥中心。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3</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应急监测组、抢险抢修组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通过抽水试验判断泄漏点；确定泄漏点后，注入水泥浆补漏；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4</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应急监测组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对地下水监测井、应急监测井、曼南坎村水井进行监测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00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5</w:t>
            </w:r>
          </w:p>
        </w:tc>
        <w:tc>
          <w:tcPr>
            <w:tcW w:w="1518"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应急监测组</w:t>
            </w:r>
            <w:r>
              <w:rPr>
                <w:rFonts w:hint="eastAsia" w:cs="Times New Roman"/>
                <w:color w:val="000000" w:themeColor="text1"/>
                <w:kern w:val="2"/>
                <w:sz w:val="24"/>
                <w:szCs w:val="24"/>
                <w14:textFill>
                  <w14:solidFill>
                    <w14:schemeClr w14:val="tx1"/>
                  </w14:solidFill>
                </w14:textFill>
              </w:rPr>
              <w:t>、后勤保障组</w:t>
            </w:r>
          </w:p>
        </w:tc>
        <w:tc>
          <w:tcPr>
            <w:tcW w:w="5670" w:type="dxa"/>
            <w:vAlign w:val="center"/>
          </w:tcPr>
          <w:p>
            <w:pPr>
              <w:tabs>
                <w:tab w:val="right" w:leader="dot" w:pos="8296"/>
              </w:tabs>
              <w:snapToGrid w:val="0"/>
              <w:ind w:firstLine="0" w:firstLineChars="0"/>
              <w:jc w:val="center"/>
              <w:rPr>
                <w:rFonts w:cs="Times New Roman"/>
                <w:color w:val="000000" w:themeColor="text1"/>
                <w:kern w:val="2"/>
                <w:sz w:val="24"/>
                <w:szCs w:val="24"/>
                <w14:textFill>
                  <w14:solidFill>
                    <w14:schemeClr w14:val="tx1"/>
                  </w14:solidFill>
                </w14:textFill>
              </w:rPr>
            </w:pPr>
            <w:r>
              <w:rPr>
                <w:rFonts w:hint="eastAsia" w:cs="Times New Roman"/>
                <w:color w:val="000000" w:themeColor="text1"/>
                <w:kern w:val="2"/>
                <w:sz w:val="24"/>
                <w:szCs w:val="24"/>
                <w14:textFill>
                  <w14:solidFill>
                    <w14:schemeClr w14:val="tx1"/>
                  </w14:solidFill>
                </w14:textFill>
              </w:rPr>
              <w:t>应立即通报村民停止饮用井水，将超标井水泵至事故池，并对水井及事故池投放药剂，待影响消除后再恢复使用</w:t>
            </w:r>
          </w:p>
        </w:tc>
      </w:tr>
    </w:tbl>
    <w:p>
      <w:pPr>
        <w:ind w:firstLine="0" w:firstLineChars="0"/>
        <w:rPr>
          <w:rFonts w:eastAsia="华文楷体"/>
          <w:color w:val="000000" w:themeColor="text1"/>
          <w:sz w:val="32"/>
          <w14:textFill>
            <w14:solidFill>
              <w14:schemeClr w14:val="tx1"/>
            </w14:solidFill>
          </w14:textFill>
        </w:rPr>
      </w:pPr>
      <w:bookmarkStart w:id="134" w:name="_Toc27066"/>
      <w:r>
        <w:rPr>
          <w:rFonts w:hint="eastAsia" w:cs="Times New Roman"/>
          <w:color w:val="000000" w:themeColor="text1"/>
          <w:sz w:val="24"/>
          <w:szCs w:val="24"/>
          <w14:textFill>
            <w14:solidFill>
              <w14:schemeClr w14:val="tx1"/>
            </w14:solidFill>
          </w14:textFill>
        </w:rPr>
        <w:t>注：应急处置措施应根据项目尾矿库及周边敏感点实际情况进行调整。</w:t>
      </w:r>
    </w:p>
    <w:p>
      <w:pPr>
        <w:pStyle w:val="16"/>
        <w:rPr>
          <w:color w:val="000000" w:themeColor="text1"/>
          <w14:textFill>
            <w14:solidFill>
              <w14:schemeClr w14:val="tx1"/>
            </w14:solidFill>
          </w14:textFill>
        </w:rPr>
      </w:pPr>
      <w:bookmarkStart w:id="135" w:name="_Toc43143213"/>
      <w:r>
        <w:rPr>
          <w:color w:val="000000" w:themeColor="text1"/>
          <w14:textFill>
            <w14:solidFill>
              <w14:schemeClr w14:val="tx1"/>
            </w14:solidFill>
          </w14:textFill>
        </w:rPr>
        <w:t>6.4.7尾矿库</w:t>
      </w:r>
      <w:r>
        <w:rPr>
          <w:rFonts w:hint="eastAsia"/>
          <w:color w:val="000000" w:themeColor="text1"/>
          <w14:textFill>
            <w14:solidFill>
              <w14:schemeClr w14:val="tx1"/>
            </w14:solidFill>
          </w14:textFill>
        </w:rPr>
        <w:t>溃坝</w:t>
      </w:r>
      <w:r>
        <w:rPr>
          <w:color w:val="000000" w:themeColor="text1"/>
          <w14:textFill>
            <w14:solidFill>
              <w14:schemeClr w14:val="tx1"/>
            </w14:solidFill>
          </w14:textFill>
        </w:rPr>
        <w:t>情景处置方案</w:t>
      </w:r>
      <w:bookmarkEnd w:id="134"/>
      <w:bookmarkEnd w:id="135"/>
    </w:p>
    <w:p>
      <w:pPr>
        <w:ind w:firstLine="560"/>
        <w:rPr>
          <w:color w:val="000000" w:themeColor="text1"/>
          <w14:textFill>
            <w14:solidFill>
              <w14:schemeClr w14:val="tx1"/>
            </w14:solidFill>
          </w14:textFill>
        </w:rPr>
      </w:pPr>
      <w:r>
        <w:rPr>
          <w:color w:val="000000" w:themeColor="text1"/>
          <w14:textFill>
            <w14:solidFill>
              <w14:schemeClr w14:val="tx1"/>
            </w14:solidFill>
          </w14:textFill>
        </w:rPr>
        <w:t>当出现尾矿库溃坝情景时，结合《</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尾矿库生产安全事故应急预案》，采取的处置措施</w:t>
      </w:r>
      <w:r>
        <w:rPr>
          <w:rFonts w:hint="eastAsia"/>
          <w:color w:val="000000" w:themeColor="text1"/>
          <w14:textFill>
            <w14:solidFill>
              <w14:schemeClr w14:val="tx1"/>
            </w14:solidFill>
          </w14:textFill>
        </w:rPr>
        <w:t>如下表所示：</w:t>
      </w:r>
    </w:p>
    <w:p>
      <w:pPr>
        <w:ind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表6.4-7 尾矿库溃坝情景处置方案</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75"/>
        <w:gridCol w:w="1984"/>
        <w:gridCol w:w="54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775"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步骤</w:t>
            </w:r>
          </w:p>
        </w:tc>
        <w:tc>
          <w:tcPr>
            <w:tcW w:w="1984"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责任人</w:t>
            </w:r>
          </w:p>
        </w:tc>
        <w:tc>
          <w:tcPr>
            <w:tcW w:w="5429" w:type="dxa"/>
            <w:vAlign w:val="center"/>
          </w:tcPr>
          <w:p>
            <w:pPr>
              <w:tabs>
                <w:tab w:val="right" w:leader="dot" w:pos="8296"/>
              </w:tabs>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应急处置措施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选厂厂长</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选厂立即停止选矿作业，停止砂泵扬送作业。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2</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选厂厂长</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立即报告公司安环部及应急指挥中心。并报告</w:t>
            </w:r>
            <w:r>
              <w:rPr>
                <w:rFonts w:hint="eastAsia" w:cs="Times New Roman"/>
                <w:color w:val="000000" w:themeColor="text1"/>
                <w:sz w:val="24"/>
                <w:szCs w:val="24"/>
                <w14:textFill>
                  <w14:solidFill>
                    <w14:schemeClr w14:val="tx1"/>
                  </w14:solidFill>
                </w14:textFill>
              </w:rPr>
              <w:t>景洪市勐龙镇</w:t>
            </w:r>
            <w:r>
              <w:rPr>
                <w:rFonts w:cs="Times New Roman"/>
                <w:color w:val="000000" w:themeColor="text1"/>
                <w:sz w:val="24"/>
                <w:szCs w:val="24"/>
                <w14:textFill>
                  <w14:solidFill>
                    <w14:schemeClr w14:val="tx1"/>
                  </w14:solidFill>
                </w14:textFill>
              </w:rPr>
              <w:t>政府，并请求支援。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3</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应急指挥中心、现场保卫组</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立即告知下游的村民小组，组织下游村民撤离。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4</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抢修抢险组</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遵照《云南安宁泰源工贸集团有限公司景洪分公司尾矿库生产安全事故应急预案》处置措施进行抢险救灾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5</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应急监测组</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对下游农田、地下水及河道汇入口上下游进行取样监测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6</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指挥协调组</w:t>
            </w:r>
            <w:r>
              <w:rPr>
                <w:rFonts w:hint="eastAsia" w:cs="Times New Roman"/>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应急监测组</w:t>
            </w:r>
            <w:r>
              <w:rPr>
                <w:rFonts w:hint="eastAsia" w:cs="Times New Roman"/>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后勤保障组</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紧急调运挖机在入河口上游100m处挖掘临时应急置污塘，对泄漏尾矿及尾矿水进行拦截储存，根据尾矿水性质投加药剂，针对性采取降解措施，经过沉淀处理后再排入南坎河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7</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kern w:val="2"/>
                <w:sz w:val="24"/>
                <w:szCs w:val="24"/>
                <w14:textFill>
                  <w14:solidFill>
                    <w14:schemeClr w14:val="tx1"/>
                  </w14:solidFill>
                </w14:textFill>
              </w:rPr>
              <w:t>应急救援指挥中心</w:t>
            </w:r>
            <w:r>
              <w:rPr>
                <w:rFonts w:hint="eastAsia" w:cs="Times New Roman"/>
                <w:color w:val="000000" w:themeColor="text1"/>
                <w:kern w:val="2"/>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后勤保障组</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通知西双版纳州生态环境局景洪分局，并由其通知境内采用南坎河河水作为灌溉和生产用水的企业或个人暂停使用，待影响消除后再恢复使用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8</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后勤保障组</w:t>
            </w:r>
            <w:r>
              <w:rPr>
                <w:rFonts w:hint="eastAsia" w:cs="Times New Roman"/>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应急监测组</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立即通报村民停止饮用井水，并检测水质，投放药剂，待影响消除后再恢复使用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775"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9</w:t>
            </w:r>
          </w:p>
        </w:tc>
        <w:tc>
          <w:tcPr>
            <w:tcW w:w="1984"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公司所有应急队伍</w:t>
            </w:r>
          </w:p>
        </w:tc>
        <w:tc>
          <w:tcPr>
            <w:tcW w:w="5429" w:type="dxa"/>
            <w:vAlign w:val="center"/>
          </w:tcPr>
          <w:p>
            <w:pPr>
              <w:tabs>
                <w:tab w:val="right" w:leader="dot" w:pos="8296"/>
              </w:tabs>
              <w:snapToGrid w:val="0"/>
              <w:ind w:firstLine="0" w:firstLineChars="0"/>
              <w:jc w:val="center"/>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积极配合县政府相关应急处置工作。</w:t>
            </w:r>
          </w:p>
        </w:tc>
      </w:tr>
    </w:tbl>
    <w:p>
      <w:pPr>
        <w:ind w:firstLine="0" w:firstLineChars="0"/>
        <w:rPr>
          <w:rFonts w:eastAsia="楷体_GB2312"/>
          <w:color w:val="000000" w:themeColor="text1"/>
          <w:sz w:val="36"/>
          <w14:textFill>
            <w14:solidFill>
              <w14:schemeClr w14:val="tx1"/>
            </w14:solidFill>
          </w14:textFill>
        </w:rPr>
      </w:pPr>
      <w:bookmarkStart w:id="136" w:name="_Toc29577"/>
      <w:bookmarkStart w:id="137" w:name="_Toc9611"/>
      <w:r>
        <w:rPr>
          <w:rFonts w:hint="eastAsia" w:cs="Times New Roman"/>
          <w:color w:val="000000" w:themeColor="text1"/>
          <w:sz w:val="24"/>
          <w:szCs w:val="24"/>
          <w14:textFill>
            <w14:solidFill>
              <w14:schemeClr w14:val="tx1"/>
            </w14:solidFill>
          </w14:textFill>
        </w:rPr>
        <w:t>注：应急处置措施应根据项目尾矿库及周边敏感点实际情况进行调整。</w:t>
      </w:r>
    </w:p>
    <w:p>
      <w:pPr>
        <w:pStyle w:val="18"/>
        <w:rPr>
          <w:color w:val="000000" w:themeColor="text1"/>
          <w14:textFill>
            <w14:solidFill>
              <w14:schemeClr w14:val="tx1"/>
            </w14:solidFill>
          </w14:textFill>
        </w:rPr>
      </w:pPr>
      <w:bookmarkStart w:id="138" w:name="_Toc43143214"/>
      <w:r>
        <w:rPr>
          <w:color w:val="000000" w:themeColor="text1"/>
          <w14:textFill>
            <w14:solidFill>
              <w14:schemeClr w14:val="tx1"/>
            </w14:solidFill>
          </w14:textFill>
        </w:rPr>
        <w:t>6.5配合有关部门应急响应</w:t>
      </w:r>
      <w:bookmarkEnd w:id="136"/>
      <w:bookmarkEnd w:id="137"/>
      <w:bookmarkEnd w:id="138"/>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尾矿库环境风险评估报告》，</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尾矿库的环境风险等级为</w:t>
      </w:r>
      <w:r>
        <w:rPr>
          <w:rFonts w:hint="eastAsia"/>
          <w:color w:val="000000" w:themeColor="text1"/>
          <w14:textFill>
            <w14:solidFill>
              <w14:schemeClr w14:val="tx1"/>
            </w14:solidFill>
          </w14:textFill>
        </w:rPr>
        <w:t>“一般</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R3）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根据事故造成的影响范围，公司应急指挥部视事故情况，当已有的应急救援队伍无法控制，应请求外部救援队伍支援，各应急小组在外部救援队伍到场之前，均听从公司应急指挥部调令，尽可能控制事故的蔓延，待生态环境部门等外部救援队伍到达后，公司指挥部移交指挥权，并全力配合外部救援队伍的应急处置救援工作</w:t>
      </w:r>
      <w:r>
        <w:rPr>
          <w:rFonts w:hint="eastAsia"/>
          <w:color w:val="000000" w:themeColor="text1"/>
          <w14:textFill>
            <w14:solidFill>
              <w14:schemeClr w14:val="tx1"/>
            </w14:solidFill>
          </w14:textFill>
        </w:rPr>
        <w:t>。</w:t>
      </w:r>
    </w:p>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r>
        <w:rPr>
          <w:rFonts w:ascii="Times New Roman" w:eastAsia="楷体_GB2312" w:cs="Times New Roman"/>
          <w:bCs/>
          <w:color w:val="000000" w:themeColor="text1"/>
          <w:sz w:val="44"/>
          <w:szCs w:val="44"/>
          <w14:textFill>
            <w14:solidFill>
              <w14:schemeClr w14:val="tx1"/>
            </w14:solidFill>
          </w14:textFill>
        </w:rPr>
        <w:br w:type="page"/>
      </w:r>
      <w:bookmarkStart w:id="139" w:name="_Toc22734"/>
      <w:bookmarkStart w:id="140" w:name="_Toc43143215"/>
      <w:r>
        <w:rPr>
          <w:rFonts w:ascii="Times New Roman" w:eastAsia="楷体_GB2312" w:cs="Times New Roman"/>
          <w:bCs/>
          <w:color w:val="000000" w:themeColor="text1"/>
          <w:szCs w:val="32"/>
          <w14:textFill>
            <w14:solidFill>
              <w14:schemeClr w14:val="tx1"/>
            </w14:solidFill>
          </w14:textFill>
        </w:rPr>
        <w:t>7应急终止</w:t>
      </w:r>
      <w:bookmarkEnd w:id="139"/>
      <w:bookmarkEnd w:id="140"/>
    </w:p>
    <w:p>
      <w:pPr>
        <w:pStyle w:val="18"/>
        <w:rPr>
          <w:color w:val="000000" w:themeColor="text1"/>
          <w14:textFill>
            <w14:solidFill>
              <w14:schemeClr w14:val="tx1"/>
            </w14:solidFill>
          </w14:textFill>
        </w:rPr>
      </w:pPr>
      <w:bookmarkStart w:id="141" w:name="_Toc27343"/>
      <w:bookmarkStart w:id="142" w:name="_Toc43143216"/>
      <w:r>
        <w:rPr>
          <w:color w:val="000000" w:themeColor="text1"/>
          <w14:textFill>
            <w14:solidFill>
              <w14:schemeClr w14:val="tx1"/>
            </w14:solidFill>
          </w14:textFill>
        </w:rPr>
        <w:t>7.1应急响应终止条件</w:t>
      </w:r>
      <w:bookmarkEnd w:id="141"/>
      <w:bookmarkEnd w:id="142"/>
    </w:p>
    <w:p>
      <w:pPr>
        <w:ind w:firstLine="560"/>
        <w:rPr>
          <w:color w:val="000000" w:themeColor="text1"/>
          <w14:textFill>
            <w14:solidFill>
              <w14:schemeClr w14:val="tx1"/>
            </w14:solidFill>
          </w14:textFill>
        </w:rPr>
      </w:pPr>
      <w:bookmarkStart w:id="143" w:name="_Toc351989717"/>
      <w:bookmarkStart w:id="144" w:name="_Toc334883402"/>
      <w:bookmarkStart w:id="145" w:name="_Toc304533452"/>
      <w:bookmarkStart w:id="146" w:name="_Toc334883985"/>
      <w:bookmarkStart w:id="147" w:name="_Toc313018018"/>
      <w:bookmarkStart w:id="148" w:name="_Toc74623056"/>
      <w:bookmarkStart w:id="149" w:name="_Toc306199628"/>
      <w:r>
        <w:rPr>
          <w:rFonts w:hint="eastAsia"/>
          <w:color w:val="000000" w:themeColor="text1"/>
          <w14:textFill>
            <w14:solidFill>
              <w14:schemeClr w14:val="tx1"/>
            </w14:solidFill>
          </w14:textFill>
        </w:rPr>
        <w:t>当云南安宁泰源工贸集团有限公司景洪分公司应急</w:t>
      </w:r>
      <w:r>
        <w:rPr>
          <w:color w:val="000000" w:themeColor="text1"/>
          <w14:textFill>
            <w14:solidFill>
              <w14:schemeClr w14:val="tx1"/>
            </w14:solidFill>
          </w14:textFill>
        </w:rPr>
        <w:t>指挥</w:t>
      </w:r>
      <w:r>
        <w:rPr>
          <w:rFonts w:hint="eastAsia"/>
          <w:color w:val="000000" w:themeColor="text1"/>
          <w14:textFill>
            <w14:solidFill>
              <w14:schemeClr w14:val="tx1"/>
            </w14:solidFill>
          </w14:textFill>
        </w:rPr>
        <w:t>中心</w:t>
      </w:r>
      <w:r>
        <w:rPr>
          <w:color w:val="000000" w:themeColor="text1"/>
          <w14:textFill>
            <w14:solidFill>
              <w14:schemeClr w14:val="tx1"/>
            </w14:solidFill>
          </w14:textFill>
        </w:rPr>
        <w:t>在认真分析事故现场情况后，确认事故现场对相关人员和周边环境不会再造成危害，符合下列条件之一时，经事故现场应急指挥批准后，宣布应急终止：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（1）事件现场得到控制，事件条件已经消除；</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（2）污染源的泄漏或释放已降至规定限制以内；</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（3）事件所造成的危害已经被彻底消除，无继发可能；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（4）事件现场的专业应急处置工作已无继续开展的必要；</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（5）采取了必要的防护措施保护公众免受再次危害，并使事件可能引起的中长期影响趋于合理且尽量低的水平；</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（6）地方政府及其环境保护等相关部门确定可以应急终止。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根据环境应急监测结果、初步评估结果，由应急指挥部决定应急响应终止，下达应急响应终止指令，并决定是否跟踪开展环境监测工作。</w:t>
      </w:r>
    </w:p>
    <w:p>
      <w:pPr>
        <w:pStyle w:val="18"/>
        <w:rPr>
          <w:color w:val="000000" w:themeColor="text1"/>
          <w14:textFill>
            <w14:solidFill>
              <w14:schemeClr w14:val="tx1"/>
            </w14:solidFill>
          </w14:textFill>
        </w:rPr>
      </w:pPr>
      <w:bookmarkStart w:id="150" w:name="_Toc43143217"/>
      <w:bookmarkStart w:id="151" w:name="_Toc20892"/>
      <w:r>
        <w:rPr>
          <w:color w:val="000000" w:themeColor="text1"/>
          <w14:textFill>
            <w14:solidFill>
              <w14:schemeClr w14:val="tx1"/>
            </w14:solidFill>
          </w14:textFill>
        </w:rPr>
        <w:t>7.2应急终止程序</w:t>
      </w:r>
      <w:bookmarkEnd w:id="143"/>
      <w:bookmarkEnd w:id="144"/>
      <w:bookmarkEnd w:id="145"/>
      <w:bookmarkEnd w:id="146"/>
      <w:bookmarkEnd w:id="147"/>
      <w:bookmarkEnd w:id="148"/>
      <w:bookmarkEnd w:id="149"/>
      <w:bookmarkEnd w:id="150"/>
      <w:bookmarkEnd w:id="151"/>
    </w:p>
    <w:p>
      <w:pPr>
        <w:ind w:firstLine="560"/>
        <w:rPr>
          <w:color w:val="000000" w:themeColor="text1"/>
          <w14:textFill>
            <w14:solidFill>
              <w14:schemeClr w14:val="tx1"/>
            </w14:solidFill>
          </w14:textFill>
        </w:rPr>
      </w:pPr>
      <w:r>
        <w:rPr>
          <w:color w:val="000000" w:themeColor="text1"/>
          <w14:textFill>
            <w14:solidFill>
              <w14:schemeClr w14:val="tx1"/>
            </w14:solidFill>
          </w14:textFill>
        </w:rPr>
        <w:t>（1）各专业应急队伍依次向应急指挥中心报告应急处理情况，以及现场当前状态，包括人员伤亡情况、设备损失情况、环境污染情况等。应急指挥中心根据情况确认，宣布终止环境安全应急响应。</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（2）应急指挥中心指派专人负责保护现场，组织事故调查取证。</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（3）经应急指挥中心决定，应急响应中心报告</w:t>
      </w:r>
      <w:r>
        <w:rPr>
          <w:rFonts w:hint="eastAsia"/>
          <w:color w:val="000000" w:themeColor="text1"/>
          <w14:textFill>
            <w14:solidFill>
              <w14:schemeClr w14:val="tx1"/>
            </w14:solidFill>
          </w14:textFill>
        </w:rPr>
        <w:t>勐龙镇</w:t>
      </w:r>
      <w:r>
        <w:rPr>
          <w:color w:val="000000" w:themeColor="text1"/>
          <w14:textFill>
            <w14:solidFill>
              <w14:schemeClr w14:val="tx1"/>
            </w14:solidFill>
          </w14:textFill>
        </w:rPr>
        <w:t>人民政府及相关部门，将疏散的周边村庄的人员撤回。</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（4）经应急指挥中心决定，通知本公司撤离人员返回各自岗位。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（5）应急指挥中心对紧急救援工作进行总结、上报。</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（6）组织好受伤人员的医疗救治，处理好善后工作。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（7）公司指导各工艺车间恢复生产。</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应急终止的信息，应以手机短信、电话、书面或其它有效方式通知到参加应急救援的单位、机构和人员以及周边政府、单位和居民。</w:t>
      </w:r>
    </w:p>
    <w:p>
      <w:pPr>
        <w:pStyle w:val="18"/>
        <w:rPr>
          <w:color w:val="000000" w:themeColor="text1"/>
          <w14:textFill>
            <w14:solidFill>
              <w14:schemeClr w14:val="tx1"/>
            </w14:solidFill>
          </w14:textFill>
        </w:rPr>
      </w:pPr>
      <w:bookmarkStart w:id="152" w:name="_Toc9778"/>
      <w:bookmarkStart w:id="153" w:name="_Toc43143218"/>
      <w:bookmarkStart w:id="154" w:name="_Toc306199629"/>
      <w:bookmarkStart w:id="155" w:name="_Toc334883986"/>
      <w:bookmarkStart w:id="156" w:name="_Toc74623057"/>
      <w:bookmarkStart w:id="157" w:name="_Toc351989718"/>
      <w:bookmarkStart w:id="158" w:name="_Toc313018019"/>
      <w:bookmarkStart w:id="159" w:name="_Toc304533453"/>
      <w:bookmarkStart w:id="160" w:name="_Toc334883403"/>
      <w:r>
        <w:rPr>
          <w:color w:val="000000" w:themeColor="text1"/>
          <w14:textFill>
            <w14:solidFill>
              <w14:schemeClr w14:val="tx1"/>
            </w14:solidFill>
          </w14:textFill>
        </w:rPr>
        <w:t>7.3应急终止后行动</w:t>
      </w:r>
      <w:bookmarkEnd w:id="152"/>
      <w:bookmarkEnd w:id="153"/>
      <w:bookmarkEnd w:id="154"/>
      <w:bookmarkEnd w:id="155"/>
      <w:bookmarkEnd w:id="156"/>
      <w:bookmarkEnd w:id="157"/>
      <w:bookmarkEnd w:id="158"/>
      <w:bookmarkEnd w:id="159"/>
      <w:bookmarkEnd w:id="160"/>
    </w:p>
    <w:p>
      <w:pPr>
        <w:ind w:firstLine="560"/>
        <w:rPr>
          <w:color w:val="000000" w:themeColor="text1"/>
          <w14:textFill>
            <w14:solidFill>
              <w14:schemeClr w14:val="tx1"/>
            </w14:solidFill>
          </w14:textFill>
        </w:rPr>
      </w:pPr>
      <w:r>
        <w:rPr>
          <w:color w:val="000000" w:themeColor="text1"/>
          <w14:textFill>
            <w14:solidFill>
              <w14:schemeClr w14:val="tx1"/>
            </w14:solidFill>
          </w14:textFill>
        </w:rPr>
        <w:t>（1）对现场工作人员、应急行动人员和受污染的设施、设备进行清洗消毒。</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（2）调查事件原因，初步评估事件影响、损失、危害范围和程度，查明人员伤亡情况。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（3）全面检查和维护生产设施设备，清点救援物资消耗并及时补充，维护保养补充应急设备、设施和仪器。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对突发环境事件应急行动全过程进行评估，分析预案是否科学、有效，应急组织机构和应急队伍设置是否合理，应急响应和处置程序、方案制定执行是否科学、实用、到位，应急设施设备和物资是否满足需要等等。</w:t>
      </w:r>
    </w:p>
    <w:p>
      <w:pPr>
        <w:ind w:firstLine="560"/>
        <w:rPr>
          <w:rFonts w:cs="Times New Roman"/>
          <w:color w:val="000000" w:themeColor="text1"/>
          <w14:textFill>
            <w14:solidFill>
              <w14:schemeClr w14:val="tx1"/>
            </w14:solidFill>
          </w14:textFill>
        </w:rPr>
      </w:pPr>
      <w:r>
        <w:rPr>
          <w:color w:val="000000" w:themeColor="text1"/>
          <w14:textFill>
            <w14:solidFill>
              <w14:schemeClr w14:val="tx1"/>
            </w14:solidFill>
          </w14:textFill>
        </w:rPr>
        <w:t>（5）编制应急救援工作总结报告，必要时对应急预案进行修订、完善。</w:t>
      </w:r>
    </w:p>
    <w:p>
      <w:pPr>
        <w:pStyle w:val="17"/>
        <w:rPr>
          <w:color w:val="000000" w:themeColor="text1"/>
          <w14:textFill>
            <w14:solidFill>
              <w14:schemeClr w14:val="tx1"/>
            </w14:solidFill>
          </w14:textFill>
        </w:rPr>
      </w:pPr>
      <w:bookmarkStart w:id="161" w:name="_Toc12074"/>
      <w:bookmarkStart w:id="162" w:name="_Toc43143219"/>
      <w:r>
        <w:rPr>
          <w:color w:val="000000" w:themeColor="text1"/>
          <w14:textFill>
            <w14:solidFill>
              <w14:schemeClr w14:val="tx1"/>
            </w14:solidFill>
          </w14:textFill>
        </w:rPr>
        <w:t>8后期处置</w:t>
      </w:r>
      <w:bookmarkEnd w:id="161"/>
      <w:bookmarkEnd w:id="162"/>
    </w:p>
    <w:p>
      <w:pPr>
        <w:pStyle w:val="18"/>
        <w:rPr>
          <w:color w:val="000000" w:themeColor="text1"/>
          <w14:textFill>
            <w14:solidFill>
              <w14:schemeClr w14:val="tx1"/>
            </w14:solidFill>
          </w14:textFill>
        </w:rPr>
      </w:pPr>
      <w:bookmarkStart w:id="163" w:name="_Toc23301"/>
      <w:bookmarkStart w:id="164" w:name="_Toc43143220"/>
      <w:r>
        <w:rPr>
          <w:color w:val="000000" w:themeColor="text1"/>
          <w14:textFill>
            <w14:solidFill>
              <w14:schemeClr w14:val="tx1"/>
            </w14:solidFill>
          </w14:textFill>
        </w:rPr>
        <w:t>8.1善后处置</w:t>
      </w:r>
      <w:bookmarkEnd w:id="163"/>
      <w:bookmarkEnd w:id="164"/>
    </w:p>
    <w:p>
      <w:pPr>
        <w:pStyle w:val="16"/>
        <w:rPr>
          <w:color w:val="000000" w:themeColor="text1"/>
          <w14:textFill>
            <w14:solidFill>
              <w14:schemeClr w14:val="tx1"/>
            </w14:solidFill>
          </w14:textFill>
        </w:rPr>
      </w:pPr>
      <w:bookmarkStart w:id="165" w:name="_Toc12895"/>
      <w:bookmarkStart w:id="166" w:name="_Toc495"/>
      <w:bookmarkStart w:id="167" w:name="_Toc43143221"/>
      <w:r>
        <w:rPr>
          <w:color w:val="000000" w:themeColor="text1"/>
          <w14:textFill>
            <w14:solidFill>
              <w14:schemeClr w14:val="tx1"/>
            </w14:solidFill>
          </w14:textFill>
        </w:rPr>
        <w:t>8.1.1现场保护与洗消</w:t>
      </w:r>
      <w:bookmarkEnd w:id="165"/>
      <w:bookmarkEnd w:id="166"/>
      <w:bookmarkEnd w:id="167"/>
    </w:p>
    <w:p>
      <w:pPr>
        <w:ind w:firstLine="560"/>
        <w:rPr>
          <w:color w:val="000000" w:themeColor="text1"/>
          <w14:textFill>
            <w14:solidFill>
              <w14:schemeClr w14:val="tx1"/>
            </w14:solidFill>
          </w14:textFill>
        </w:rPr>
      </w:pPr>
      <w:r>
        <w:rPr>
          <w:color w:val="000000" w:themeColor="text1"/>
          <w14:textFill>
            <w14:solidFill>
              <w14:schemeClr w14:val="tx1"/>
            </w14:solidFill>
          </w14:textFill>
        </w:rPr>
        <w:t>（1）发生重伤、死亡和其他重大事故的部门负责人，要保护好事故现场，因抢救伤员和防止事故扩大，需要移动现场物件时，应尽可能先做出标志、拍照、详细记录和绘制事故现场图。清理现场应在有关政府行政主管部门同意后进行；</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（2）事故现场洗消工作由人员抢救和事故抢救专业组进行。</w:t>
      </w:r>
    </w:p>
    <w:p>
      <w:pPr>
        <w:pStyle w:val="16"/>
        <w:rPr>
          <w:color w:val="000000" w:themeColor="text1"/>
          <w14:textFill>
            <w14:solidFill>
              <w14:schemeClr w14:val="tx1"/>
            </w14:solidFill>
          </w14:textFill>
        </w:rPr>
      </w:pPr>
      <w:bookmarkStart w:id="168" w:name="_Toc29350"/>
      <w:bookmarkStart w:id="169" w:name="_Toc19971"/>
      <w:bookmarkStart w:id="170" w:name="_Toc43143222"/>
      <w:r>
        <w:rPr>
          <w:color w:val="000000" w:themeColor="text1"/>
          <w14:textFill>
            <w14:solidFill>
              <w14:schemeClr w14:val="tx1"/>
            </w14:solidFill>
          </w14:textFill>
        </w:rPr>
        <w:t>8.1.2事故现场善后处理、恢复措施</w:t>
      </w:r>
      <w:bookmarkEnd w:id="168"/>
      <w:bookmarkEnd w:id="169"/>
      <w:bookmarkEnd w:id="170"/>
    </w:p>
    <w:p>
      <w:pPr>
        <w:ind w:firstLine="560"/>
        <w:rPr>
          <w:color w:val="000000" w:themeColor="text1"/>
          <w14:textFill>
            <w14:solidFill>
              <w14:schemeClr w14:val="tx1"/>
            </w14:solidFill>
          </w14:textFill>
        </w:rPr>
      </w:pPr>
      <w:r>
        <w:rPr>
          <w:color w:val="000000" w:themeColor="text1"/>
          <w14:textFill>
            <w14:solidFill>
              <w14:schemeClr w14:val="tx1"/>
            </w14:solidFill>
          </w14:textFill>
        </w:rPr>
        <w:t>（1）成立由公司总经理任组长，生产技术部、安环部、发生事故的部门负责人、工会领导、员工代表组成事故调查组，查明事故原因，总结经验教训，落实防范措施，尽快</w:t>
      </w:r>
      <w:r>
        <w:rPr>
          <w:rFonts w:hint="eastAsia"/>
          <w:color w:val="000000" w:themeColor="text1"/>
          <w14:textFill>
            <w14:solidFill>
              <w14:schemeClr w14:val="tx1"/>
            </w14:solidFill>
          </w14:textFill>
        </w:rPr>
        <w:t>恢复</w:t>
      </w:r>
      <w:r>
        <w:rPr>
          <w:color w:val="000000" w:themeColor="text1"/>
          <w14:textFill>
            <w14:solidFill>
              <w14:schemeClr w14:val="tx1"/>
            </w14:solidFill>
          </w14:textFill>
        </w:rPr>
        <w:t>尾矿库的正常使用；</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（2）成立由分管领导任组长，生产技术部、安环部、工程建设管理部、供销部、资产财务部、事故部门等组成的抢修小组，研究抢修方案，尽快组织抢险抢修，恢复尾矿库正常使用，减少损失。</w:t>
      </w:r>
    </w:p>
    <w:p>
      <w:pPr>
        <w:pStyle w:val="16"/>
        <w:rPr>
          <w:color w:val="000000" w:themeColor="text1"/>
          <w14:textFill>
            <w14:solidFill>
              <w14:schemeClr w14:val="tx1"/>
            </w14:solidFill>
          </w14:textFill>
        </w:rPr>
      </w:pPr>
      <w:bookmarkStart w:id="171" w:name="_Toc22286"/>
      <w:bookmarkStart w:id="172" w:name="_Toc16047"/>
      <w:bookmarkStart w:id="173" w:name="_Toc43143223"/>
      <w:r>
        <w:rPr>
          <w:color w:val="000000" w:themeColor="text1"/>
          <w14:textFill>
            <w14:solidFill>
              <w14:schemeClr w14:val="tx1"/>
            </w14:solidFill>
          </w14:textFill>
        </w:rPr>
        <w:t>8.1.3周围村庄及居民的善后处理、恢复措施</w:t>
      </w:r>
      <w:bookmarkEnd w:id="171"/>
      <w:bookmarkEnd w:id="172"/>
      <w:bookmarkEnd w:id="173"/>
    </w:p>
    <w:p>
      <w:pPr>
        <w:ind w:firstLine="560"/>
        <w:rPr>
          <w:color w:val="000000" w:themeColor="text1"/>
          <w14:textFill>
            <w14:solidFill>
              <w14:schemeClr w14:val="tx1"/>
            </w14:solidFill>
          </w14:textFill>
        </w:rPr>
      </w:pPr>
      <w:r>
        <w:rPr>
          <w:color w:val="000000" w:themeColor="text1"/>
          <w14:textFill>
            <w14:solidFill>
              <w14:schemeClr w14:val="tx1"/>
            </w14:solidFill>
          </w14:textFill>
        </w:rPr>
        <w:t>（1）周边村庄及居民的善后处理、恢复措施由地方政府统一组织，应急救援指挥部积极配合实施；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（2）相关职能部门要积极组织力量全面开展灾情核定工作，对损失情况进行评估，并逐户</w:t>
      </w:r>
      <w:r>
        <w:rPr>
          <w:rFonts w:hint="eastAsia"/>
          <w:color w:val="000000" w:themeColor="text1"/>
          <w14:textFill>
            <w14:solidFill>
              <w14:schemeClr w14:val="tx1"/>
            </w14:solidFill>
          </w14:textFill>
        </w:rPr>
        <w:t>核实</w:t>
      </w:r>
      <w:r>
        <w:rPr>
          <w:color w:val="000000" w:themeColor="text1"/>
          <w14:textFill>
            <w14:solidFill>
              <w14:schemeClr w14:val="tx1"/>
            </w14:solidFill>
          </w14:textFill>
        </w:rPr>
        <w:t>，按照国家相关法律、法规和标准要求制定补偿（赔偿）标准</w:t>
      </w:r>
      <w:r>
        <w:rPr>
          <w:rFonts w:hint="eastAsia"/>
          <w:color w:val="000000" w:themeColor="text1"/>
          <w14:textFill>
            <w14:solidFill>
              <w14:schemeClr w14:val="tx1"/>
            </w14:solidFill>
          </w14:textFill>
        </w:rPr>
        <w:t>和补偿计划</w:t>
      </w:r>
      <w:r>
        <w:rPr>
          <w:color w:val="000000" w:themeColor="text1"/>
          <w14:textFill>
            <w14:solidFill>
              <w14:schemeClr w14:val="tx1"/>
            </w14:solidFill>
          </w14:textFill>
        </w:rPr>
        <w:t>，并迅速实施；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（3）对于事故中受到影响，暂时不能恢复正常生产生活的居民，及时组织救灾物资和生活必需品的调拨，保障基本生活。</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在应急领导小组的指导下，事故发生单位及相关单位和部门按照各自职责，开展恢复正常生产秩序和后期处置的相关工作。</w:t>
      </w:r>
    </w:p>
    <w:p>
      <w:pPr>
        <w:pStyle w:val="18"/>
        <w:rPr>
          <w:color w:val="000000" w:themeColor="text1"/>
          <w14:textFill>
            <w14:solidFill>
              <w14:schemeClr w14:val="tx1"/>
            </w14:solidFill>
          </w14:textFill>
        </w:rPr>
      </w:pPr>
      <w:bookmarkStart w:id="174" w:name="_Toc26577"/>
      <w:bookmarkStart w:id="175" w:name="_Toc43143224"/>
      <w:r>
        <w:rPr>
          <w:color w:val="000000" w:themeColor="text1"/>
          <w14:textFill>
            <w14:solidFill>
              <w14:schemeClr w14:val="tx1"/>
            </w14:solidFill>
          </w14:textFill>
        </w:rPr>
        <w:t>8.2保险</w:t>
      </w:r>
      <w:bookmarkEnd w:id="174"/>
      <w:bookmarkEnd w:id="175"/>
    </w:p>
    <w:p>
      <w:pPr>
        <w:ind w:firstLine="560"/>
        <w:rPr>
          <w:color w:val="000000" w:themeColor="text1"/>
          <w14:textFill>
            <w14:solidFill>
              <w14:schemeClr w14:val="tx1"/>
            </w14:solidFill>
          </w14:textFill>
        </w:rPr>
      </w:pPr>
      <w:r>
        <w:rPr>
          <w:color w:val="000000" w:themeColor="text1"/>
          <w14:textFill>
            <w14:solidFill>
              <w14:schemeClr w14:val="tx1"/>
            </w14:solidFill>
          </w14:textFill>
        </w:rPr>
        <w:t>公司为所有员工购买的保险为：养老保险、医疗保险、失业保险、工伤保险和生育险。发生重大环境事故后，受灾人员应当视为工伤，享受工伤保险。应急救援人员在应急救援过程中受到意外伤害时，享受意外伤害保险。其余保险根据投保合同及损失情况及时进行理赔。</w:t>
      </w:r>
    </w:p>
    <w:p>
      <w:pPr>
        <w:pStyle w:val="18"/>
        <w:rPr>
          <w:color w:val="000000" w:themeColor="text1"/>
          <w14:textFill>
            <w14:solidFill>
              <w14:schemeClr w14:val="tx1"/>
            </w14:solidFill>
          </w14:textFill>
        </w:rPr>
      </w:pPr>
      <w:bookmarkStart w:id="176" w:name="_Toc26923"/>
      <w:bookmarkStart w:id="177" w:name="_Toc43143225"/>
      <w:r>
        <w:rPr>
          <w:color w:val="000000" w:themeColor="text1"/>
          <w14:textFill>
            <w14:solidFill>
              <w14:schemeClr w14:val="tx1"/>
            </w14:solidFill>
          </w14:textFill>
        </w:rPr>
        <w:t>8.3评估与总结</w:t>
      </w:r>
      <w:bookmarkEnd w:id="176"/>
      <w:bookmarkEnd w:id="177"/>
    </w:p>
    <w:p>
      <w:pPr>
        <w:ind w:firstLine="560"/>
        <w:rPr>
          <w:color w:val="000000" w:themeColor="text1"/>
          <w14:textFill>
            <w14:solidFill>
              <w14:schemeClr w14:val="tx1"/>
            </w14:solidFill>
          </w14:textFill>
        </w:rPr>
      </w:pPr>
      <w:r>
        <w:rPr>
          <w:color w:val="000000" w:themeColor="text1"/>
          <w14:textFill>
            <w14:solidFill>
              <w14:schemeClr w14:val="tx1"/>
            </w14:solidFill>
          </w14:textFill>
        </w:rPr>
        <w:t>尾矿库突发环境事件善后处置工作结束后，总经理组织全公司认真分析总结事故经验教训，组织各应急组对应急计划和实施程序的有效性、应急装备的可行性、应急人员的素质和反应速度等</w:t>
      </w:r>
      <w:r>
        <w:rPr>
          <w:rFonts w:hint="eastAsia"/>
          <w:color w:val="000000" w:themeColor="text1"/>
          <w:lang w:val="en-US" w:eastAsia="zh-CN"/>
          <w14:textFill>
            <w14:solidFill>
              <w14:schemeClr w14:val="tx1"/>
            </w14:solidFill>
          </w14:textFill>
        </w:rPr>
        <w:t>做出</w:t>
      </w:r>
      <w:r>
        <w:rPr>
          <w:color w:val="000000" w:themeColor="text1"/>
          <w14:textFill>
            <w14:solidFill>
              <w14:schemeClr w14:val="tx1"/>
            </w14:solidFill>
          </w14:textFill>
        </w:rPr>
        <w:t>评价，同时也可邀请当地生态环境部门专家参与，并提出对预案的修改意见，具体见表8.3-1。</w:t>
      </w:r>
    </w:p>
    <w:p>
      <w:pPr>
        <w:snapToGrid w:val="0"/>
        <w:spacing w:before="190" w:beforeLines="50" w:after="190" w:afterLines="50"/>
        <w:ind w:firstLine="0" w:firstLineChars="0"/>
        <w:jc w:val="center"/>
        <w:rPr>
          <w:rFonts w:cs="Times New Roman"/>
          <w:b/>
          <w:bCs/>
          <w:color w:val="000000" w:themeColor="text1"/>
          <w:sz w:val="24"/>
          <w:szCs w:val="18"/>
          <w14:textFill>
            <w14:solidFill>
              <w14:schemeClr w14:val="tx1"/>
            </w14:solidFill>
          </w14:textFill>
        </w:rPr>
      </w:pPr>
      <w:r>
        <w:rPr>
          <w:rFonts w:cs="Times New Roman"/>
          <w:b/>
          <w:bCs/>
          <w:color w:val="000000" w:themeColor="text1"/>
          <w:sz w:val="24"/>
          <w:szCs w:val="18"/>
          <w14:textFill>
            <w14:solidFill>
              <w14:schemeClr w14:val="tx1"/>
            </w14:solidFill>
          </w14:textFill>
        </w:rPr>
        <w:t>表8.3-1 善后处置工作一览表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6"/>
        <w:gridCol w:w="1800"/>
        <w:gridCol w:w="4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6" w:type="dxa"/>
            <w:vAlign w:val="center"/>
          </w:tcPr>
          <w:p>
            <w:pPr>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工作类别</w:t>
            </w:r>
          </w:p>
        </w:tc>
        <w:tc>
          <w:tcPr>
            <w:tcW w:w="1800" w:type="dxa"/>
            <w:vAlign w:val="center"/>
          </w:tcPr>
          <w:p>
            <w:pPr>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负责人</w:t>
            </w:r>
          </w:p>
        </w:tc>
        <w:tc>
          <w:tcPr>
            <w:tcW w:w="4846" w:type="dxa"/>
            <w:vAlign w:val="center"/>
          </w:tcPr>
          <w:p>
            <w:pPr>
              <w:snapToGrid w:val="0"/>
              <w:ind w:firstLine="0" w:firstLineChars="0"/>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具体工作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6" w:type="dxa"/>
            <w:vAlign w:val="center"/>
          </w:tcPr>
          <w:p>
            <w:pPr>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总结事故原因</w:t>
            </w:r>
          </w:p>
        </w:tc>
        <w:tc>
          <w:tcPr>
            <w:tcW w:w="1800" w:type="dxa"/>
            <w:vAlign w:val="center"/>
          </w:tcPr>
          <w:p>
            <w:pPr>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分管副总（工会主席）、选厂、安环部</w:t>
            </w:r>
          </w:p>
        </w:tc>
        <w:tc>
          <w:tcPr>
            <w:tcW w:w="4846" w:type="dxa"/>
            <w:vAlign w:val="center"/>
          </w:tcPr>
          <w:p>
            <w:pPr>
              <w:snapToGrid w:val="0"/>
              <w:ind w:firstLine="0" w:firstLineChars="0"/>
              <w:rPr>
                <w:rFonts w:hint="eastAsia" w:eastAsia="仿宋" w:cs="Times New Roman"/>
                <w:color w:val="000000" w:themeColor="text1"/>
                <w:sz w:val="24"/>
                <w:szCs w:val="24"/>
                <w:lang w:eastAsia="zh-CN"/>
                <w14:textFill>
                  <w14:solidFill>
                    <w14:schemeClr w14:val="tx1"/>
                  </w14:solidFill>
                </w14:textFill>
              </w:rPr>
            </w:pPr>
            <w:r>
              <w:rPr>
                <w:rFonts w:cs="Times New Roman"/>
                <w:color w:val="000000" w:themeColor="text1"/>
                <w:sz w:val="24"/>
                <w:szCs w:val="24"/>
                <w14:textFill>
                  <w14:solidFill>
                    <w14:schemeClr w14:val="tx1"/>
                  </w14:solidFill>
                </w14:textFill>
              </w:rPr>
              <w:t>总结经验教训，内容包括事故性质、类别、原因、责任、防范措施、改进措施和处置工作的经验，编制总结报告，并上报</w:t>
            </w:r>
            <w:r>
              <w:rPr>
                <w:rFonts w:hint="eastAsia" w:cs="Times New Roman"/>
                <w:color w:val="000000" w:themeColor="text1"/>
                <w:sz w:val="24"/>
                <w:szCs w:val="24"/>
                <w14:textFill>
                  <w14:solidFill>
                    <w14:schemeClr w14:val="tx1"/>
                  </w14:solidFill>
                </w14:textFill>
              </w:rPr>
              <w:t>云南安宁泰源工贸集团有限公司景洪分公司</w:t>
            </w:r>
            <w:r>
              <w:rPr>
                <w:rFonts w:cs="Times New Roman"/>
                <w:color w:val="000000" w:themeColor="text1"/>
                <w:sz w:val="24"/>
                <w:szCs w:val="24"/>
                <w14:textFill>
                  <w14:solidFill>
                    <w14:schemeClr w14:val="tx1"/>
                  </w14:solidFill>
                </w14:textFill>
              </w:rPr>
              <w:t>、</w:t>
            </w:r>
            <w:r>
              <w:rPr>
                <w:rFonts w:hint="eastAsia" w:cs="Times New Roman"/>
                <w:color w:val="000000" w:themeColor="text1"/>
                <w:sz w:val="24"/>
                <w:szCs w:val="24"/>
                <w14:textFill>
                  <w14:solidFill>
                    <w14:schemeClr w14:val="tx1"/>
                  </w14:solidFill>
                </w14:textFill>
              </w:rPr>
              <w:t>勐龙镇</w:t>
            </w:r>
            <w:r>
              <w:rPr>
                <w:rFonts w:cs="Times New Roman"/>
                <w:color w:val="000000" w:themeColor="text1"/>
                <w:sz w:val="24"/>
                <w:szCs w:val="24"/>
                <w14:textFill>
                  <w14:solidFill>
                    <w14:schemeClr w14:val="tx1"/>
                  </w14:solidFill>
                </w14:textFill>
              </w:rPr>
              <w:t>人民政府、</w:t>
            </w:r>
            <w:r>
              <w:rPr>
                <w:rFonts w:hint="eastAsia" w:cs="Times New Roman"/>
                <w:color w:val="000000" w:themeColor="text1"/>
                <w:sz w:val="24"/>
                <w:szCs w:val="24"/>
                <w14:textFill>
                  <w14:solidFill>
                    <w14:schemeClr w14:val="tx1"/>
                  </w14:solidFill>
                </w14:textFill>
              </w:rPr>
              <w:t>景洪市</w:t>
            </w:r>
            <w:r>
              <w:rPr>
                <w:rFonts w:cs="Times New Roman"/>
                <w:color w:val="000000" w:themeColor="text1"/>
                <w:sz w:val="24"/>
                <w:szCs w:val="24"/>
                <w14:textFill>
                  <w14:solidFill>
                    <w14:schemeClr w14:val="tx1"/>
                  </w14:solidFill>
                </w14:textFill>
              </w:rPr>
              <w:t>人民政府及</w:t>
            </w:r>
            <w:r>
              <w:rPr>
                <w:rFonts w:hint="eastAsia" w:cs="Times New Roman"/>
                <w:color w:val="000000" w:themeColor="text1"/>
                <w:sz w:val="24"/>
                <w:szCs w:val="24"/>
                <w:lang w:val="en-US" w:eastAsia="zh-CN"/>
                <w14:textFill>
                  <w14:solidFill>
                    <w14:schemeClr w14:val="tx1"/>
                  </w14:solidFill>
                </w14:textFill>
              </w:rPr>
              <w:t>西双版纳傣族自治州生态环境局景洪分局</w:t>
            </w:r>
            <w:r>
              <w:rPr>
                <w:rFonts w:hint="eastAsia" w:cs="Times New Roman"/>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6" w:type="dxa"/>
            <w:vAlign w:val="center"/>
          </w:tcPr>
          <w:p>
            <w:pPr>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组织预案修订</w:t>
            </w:r>
          </w:p>
        </w:tc>
        <w:tc>
          <w:tcPr>
            <w:tcW w:w="1800" w:type="dxa"/>
            <w:vAlign w:val="center"/>
          </w:tcPr>
          <w:p>
            <w:pPr>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选厂、安环部</w:t>
            </w:r>
          </w:p>
        </w:tc>
        <w:tc>
          <w:tcPr>
            <w:tcW w:w="4846"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组织专家对事故应急处置过程及企业环境应急预案，进行全面、专业评估，并据此修订预案，将修订后的预案报</w:t>
            </w:r>
            <w:r>
              <w:rPr>
                <w:rFonts w:hint="eastAsia" w:cs="Times New Roman"/>
                <w:color w:val="000000" w:themeColor="text1"/>
                <w:sz w:val="24"/>
                <w:szCs w:val="24"/>
                <w14:textFill>
                  <w14:solidFill>
                    <w14:schemeClr w14:val="tx1"/>
                  </w14:solidFill>
                </w14:textFill>
              </w:rPr>
              <w:t>西双版纳州</w:t>
            </w:r>
            <w:r>
              <w:rPr>
                <w:rFonts w:cs="Times New Roman"/>
                <w:color w:val="000000" w:themeColor="text1"/>
                <w:sz w:val="24"/>
                <w:szCs w:val="24"/>
                <w14:textFill>
                  <w14:solidFill>
                    <w14:schemeClr w14:val="tx1"/>
                  </w14:solidFill>
                </w14:textFill>
              </w:rPr>
              <w:t>生态环境局</w:t>
            </w:r>
            <w:r>
              <w:rPr>
                <w:rFonts w:hint="eastAsia" w:cs="Times New Roman"/>
                <w:color w:val="000000" w:themeColor="text1"/>
                <w:sz w:val="24"/>
                <w:szCs w:val="24"/>
                <w14:textFill>
                  <w14:solidFill>
                    <w14:schemeClr w14:val="tx1"/>
                  </w14:solidFill>
                </w14:textFill>
              </w:rPr>
              <w:t>景洪</w:t>
            </w:r>
            <w:r>
              <w:rPr>
                <w:rFonts w:cs="Times New Roman"/>
                <w:color w:val="000000" w:themeColor="text1"/>
                <w:sz w:val="24"/>
                <w:szCs w:val="24"/>
                <w14:textFill>
                  <w14:solidFill>
                    <w14:schemeClr w14:val="tx1"/>
                  </w14:solidFill>
                </w14:textFill>
              </w:rPr>
              <w:t>分局备案。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6" w:type="dxa"/>
            <w:vAlign w:val="center"/>
          </w:tcPr>
          <w:p>
            <w:pPr>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配合政府部门相关评估</w:t>
            </w:r>
          </w:p>
        </w:tc>
        <w:tc>
          <w:tcPr>
            <w:tcW w:w="1800" w:type="dxa"/>
            <w:vAlign w:val="center"/>
          </w:tcPr>
          <w:p>
            <w:pPr>
              <w:snapToGrid w:val="0"/>
              <w:ind w:firstLine="0" w:firstLineChars="0"/>
              <w:jc w:val="center"/>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总经理</w:t>
            </w:r>
          </w:p>
        </w:tc>
        <w:tc>
          <w:tcPr>
            <w:tcW w:w="4846"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积极配合地方政府及相关部门开展的各类评估工作。</w:t>
            </w:r>
          </w:p>
        </w:tc>
      </w:tr>
    </w:tbl>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bookmarkStart w:id="178" w:name="_Toc25681"/>
      <w:r>
        <w:rPr>
          <w:rFonts w:ascii="Times New Roman" w:eastAsia="楷体_GB2312" w:cs="Times New Roman"/>
          <w:bCs/>
          <w:color w:val="000000" w:themeColor="text1"/>
          <w:sz w:val="44"/>
          <w:szCs w:val="44"/>
          <w14:textFill>
            <w14:solidFill>
              <w14:schemeClr w14:val="tx1"/>
            </w14:solidFill>
          </w14:textFill>
        </w:rPr>
        <w:br w:type="page"/>
      </w:r>
      <w:bookmarkStart w:id="179" w:name="_Toc43143226"/>
      <w:r>
        <w:rPr>
          <w:rFonts w:ascii="Times New Roman" w:eastAsia="楷体_GB2312" w:cs="Times New Roman"/>
          <w:bCs/>
          <w:color w:val="000000" w:themeColor="text1"/>
          <w:szCs w:val="32"/>
          <w14:textFill>
            <w14:solidFill>
              <w14:schemeClr w14:val="tx1"/>
            </w14:solidFill>
          </w14:textFill>
        </w:rPr>
        <w:t>9应急培训与演练</w:t>
      </w:r>
      <w:bookmarkEnd w:id="178"/>
      <w:bookmarkEnd w:id="179"/>
    </w:p>
    <w:p>
      <w:pPr>
        <w:pStyle w:val="18"/>
        <w:rPr>
          <w:color w:val="000000" w:themeColor="text1"/>
          <w14:textFill>
            <w14:solidFill>
              <w14:schemeClr w14:val="tx1"/>
            </w14:solidFill>
          </w14:textFill>
        </w:rPr>
      </w:pPr>
      <w:bookmarkStart w:id="180" w:name="_Toc21746"/>
      <w:bookmarkStart w:id="181" w:name="_Toc43143227"/>
      <w:r>
        <w:rPr>
          <w:color w:val="000000" w:themeColor="text1"/>
          <w14:textFill>
            <w14:solidFill>
              <w14:schemeClr w14:val="tx1"/>
            </w14:solidFill>
          </w14:textFill>
        </w:rPr>
        <w:t>9.1培训</w:t>
      </w:r>
      <w:bookmarkEnd w:id="180"/>
      <w:bookmarkEnd w:id="181"/>
    </w:p>
    <w:p>
      <w:pPr>
        <w:pStyle w:val="16"/>
        <w:rPr>
          <w:color w:val="000000" w:themeColor="text1"/>
          <w14:textFill>
            <w14:solidFill>
              <w14:schemeClr w14:val="tx1"/>
            </w14:solidFill>
          </w14:textFill>
        </w:rPr>
      </w:pPr>
      <w:bookmarkStart w:id="182" w:name="_Toc468892721"/>
      <w:bookmarkStart w:id="183" w:name="_Toc486955393"/>
      <w:bookmarkStart w:id="184" w:name="_Toc373765674"/>
      <w:bookmarkStart w:id="185" w:name="_Toc443309539"/>
      <w:bookmarkStart w:id="186" w:name="_Toc486862592"/>
      <w:bookmarkStart w:id="187" w:name="_Toc32196"/>
      <w:bookmarkStart w:id="188" w:name="_Toc445661748"/>
      <w:bookmarkStart w:id="189" w:name="_Toc43143228"/>
      <w:bookmarkStart w:id="190" w:name="_Toc421024379"/>
      <w:r>
        <w:rPr>
          <w:color w:val="000000" w:themeColor="text1"/>
          <w14:textFill>
            <w14:solidFill>
              <w14:schemeClr w14:val="tx1"/>
            </w14:solidFill>
          </w14:textFill>
        </w:rPr>
        <w:t>9.1.1组织、指导应急预案的培训工作</w:t>
      </w:r>
      <w:bookmarkEnd w:id="182"/>
      <w:bookmarkEnd w:id="183"/>
      <w:bookmarkEnd w:id="184"/>
      <w:bookmarkEnd w:id="185"/>
      <w:bookmarkEnd w:id="186"/>
      <w:bookmarkEnd w:id="187"/>
      <w:bookmarkEnd w:id="188"/>
      <w:bookmarkEnd w:id="189"/>
      <w:bookmarkEnd w:id="190"/>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每年组织对应急指挥部成员及应急处置小组人员进行培训，主要目的是明确各自职责。培训主要通过培训等方式。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培训主要针对指挥部应急管理人员，主要培训内容为环境应急基本知识，包括：①如何识别危险源；②如何启动紧急警报系统；③尾矿库涉及的污染物特性以及所涉及的污染事故知识；④各岗位应急参与污染事故处置知识；⑤各种应急设备的使用方法；⑥防护用品的佩戴使用；⑦如何安全疏散人群等；⑧</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尾矿库突发环境事件应急预案。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（2）应急指挥部应组织职工进行《安全生产法》、《中华人民共和国环境保护法》和应急预案的培训。进行上岗前培训和业务培训，提高工人自救互救能力。</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（3）认真贯彻事故隐患排查管理制度，所有工作人员要熟悉各种事故知识和应急预案，熟悉警报、避灾路线和救灾办法。</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（4）组织开展应急宣传教育，提高相关方面的应急意识，熟悉各类灾难下的应急救援程序及自救互救知识、相关避灾路线等，提高自救和避灾能力。</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（5）应急指挥部应组织编制各类专业应急人员、</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员工的年度培训计划，并组织实施。同时对应急培训进行总结。内容应</w:t>
      </w:r>
      <w:r>
        <w:rPr>
          <w:rFonts w:hint="eastAsia"/>
          <w:color w:val="000000" w:themeColor="text1"/>
          <w14:textFill>
            <w14:solidFill>
              <w14:schemeClr w14:val="tx1"/>
            </w14:solidFill>
          </w14:textFill>
        </w:rPr>
        <w:t>包括：①培训时间；②培训内容；③培训师资；④培训人员；⑤培训效果；⑥培训考核记录等。</w:t>
      </w:r>
    </w:p>
    <w:p>
      <w:pPr>
        <w:pStyle w:val="16"/>
        <w:rPr>
          <w:color w:val="000000" w:themeColor="text1"/>
          <w14:textFill>
            <w14:solidFill>
              <w14:schemeClr w14:val="tx1"/>
            </w14:solidFill>
          </w14:textFill>
        </w:rPr>
      </w:pPr>
      <w:bookmarkStart w:id="191" w:name="_Toc468892722"/>
      <w:bookmarkStart w:id="192" w:name="_Toc43143229"/>
      <w:bookmarkStart w:id="193" w:name="_Toc443309540"/>
      <w:bookmarkStart w:id="194" w:name="_Toc445661749"/>
      <w:bookmarkStart w:id="195" w:name="_Toc373765675"/>
      <w:bookmarkStart w:id="196" w:name="_Toc28766"/>
      <w:bookmarkStart w:id="197" w:name="_Toc486955394"/>
      <w:bookmarkStart w:id="198" w:name="_Toc421024380"/>
      <w:bookmarkStart w:id="199" w:name="_Toc486862593"/>
      <w:r>
        <w:rPr>
          <w:color w:val="000000" w:themeColor="text1"/>
          <w14:textFill>
            <w14:solidFill>
              <w14:schemeClr w14:val="tx1"/>
            </w14:solidFill>
          </w14:textFill>
        </w:rPr>
        <w:t>9.1.2应急处置人员的培训内容</w:t>
      </w:r>
      <w:bookmarkEnd w:id="191"/>
      <w:bookmarkEnd w:id="192"/>
      <w:bookmarkEnd w:id="193"/>
      <w:bookmarkEnd w:id="194"/>
      <w:bookmarkEnd w:id="195"/>
      <w:bookmarkEnd w:id="196"/>
      <w:bookmarkEnd w:id="197"/>
      <w:bookmarkEnd w:id="198"/>
      <w:bookmarkEnd w:id="199"/>
    </w:p>
    <w:p>
      <w:pPr>
        <w:ind w:firstLine="560"/>
        <w:rPr>
          <w:color w:val="000000" w:themeColor="text1"/>
          <w14:textFill>
            <w14:solidFill>
              <w14:schemeClr w14:val="tx1"/>
            </w14:solidFill>
          </w14:textFill>
        </w:rPr>
      </w:pPr>
      <w:r>
        <w:rPr>
          <w:color w:val="000000" w:themeColor="text1"/>
          <w14:textFill>
            <w14:solidFill>
              <w14:schemeClr w14:val="tx1"/>
            </w14:solidFill>
          </w14:textFill>
        </w:rPr>
        <w:t>（1）危险重点部位的分布与事故风险；</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（2）事故报警与报告程序、方式；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（3）各类尾矿库突发事故（排洪系统发生严重堵塞或泄露；尾矿库发生垮坝、洪水漫顶；集水池防渗层发生破损、渗滤液发生渗漏；尾矿运输管线、回水管线破损、泄露等）的抢险处置措施；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（4）各种应急设备设施及防护用品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原则为每三年更新一次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的使用与正确佩戴；</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（5）应急疏散程序与事故现场的保护；</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（6）医疗急救知识与</w:t>
      </w:r>
      <w:r>
        <w:rPr>
          <w:rFonts w:hint="eastAsia"/>
          <w:color w:val="000000" w:themeColor="text1"/>
          <w14:textFill>
            <w14:solidFill>
              <w14:schemeClr w14:val="tx1"/>
            </w14:solidFill>
          </w14:textFill>
        </w:rPr>
        <w:t>技能</w:t>
      </w:r>
      <w:r>
        <w:rPr>
          <w:color w:val="000000" w:themeColor="text1"/>
          <w14:textFill>
            <w14:solidFill>
              <w14:schemeClr w14:val="tx1"/>
            </w14:solidFill>
          </w14:textFill>
        </w:rPr>
        <w:t>；</w:t>
      </w:r>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（7）情况通报过程演练。</w:t>
      </w:r>
    </w:p>
    <w:p>
      <w:pPr>
        <w:pStyle w:val="16"/>
        <w:rPr>
          <w:color w:val="000000" w:themeColor="text1"/>
          <w14:textFill>
            <w14:solidFill>
              <w14:schemeClr w14:val="tx1"/>
            </w14:solidFill>
          </w14:textFill>
        </w:rPr>
      </w:pPr>
      <w:bookmarkStart w:id="200" w:name="_Toc445661750"/>
      <w:bookmarkStart w:id="201" w:name="_Toc421024381"/>
      <w:bookmarkStart w:id="202" w:name="_Toc468892723"/>
      <w:bookmarkStart w:id="203" w:name="_Toc443309541"/>
      <w:bookmarkStart w:id="204" w:name="_Toc31186"/>
      <w:bookmarkStart w:id="205" w:name="_Toc486862594"/>
      <w:bookmarkStart w:id="206" w:name="_Toc373765676"/>
      <w:bookmarkStart w:id="207" w:name="_Toc486955395"/>
      <w:bookmarkStart w:id="208" w:name="_Toc43143230"/>
      <w:r>
        <w:rPr>
          <w:color w:val="000000" w:themeColor="text1"/>
          <w14:textFill>
            <w14:solidFill>
              <w14:schemeClr w14:val="tx1"/>
            </w14:solidFill>
          </w14:textFill>
        </w:rPr>
        <w:t>9.1.3员工与公众的培训</w:t>
      </w:r>
      <w:bookmarkEnd w:id="200"/>
      <w:bookmarkEnd w:id="201"/>
      <w:bookmarkEnd w:id="202"/>
      <w:bookmarkEnd w:id="203"/>
      <w:bookmarkEnd w:id="204"/>
      <w:bookmarkEnd w:id="205"/>
      <w:bookmarkEnd w:id="206"/>
      <w:bookmarkEnd w:id="207"/>
      <w:bookmarkEnd w:id="208"/>
    </w:p>
    <w:p>
      <w:pPr>
        <w:ind w:firstLine="560"/>
        <w:rPr>
          <w:color w:val="000000" w:themeColor="text1"/>
          <w14:textFill>
            <w14:solidFill>
              <w14:schemeClr w14:val="tx1"/>
            </w14:solidFill>
          </w14:textFill>
        </w:rPr>
      </w:pPr>
      <w:r>
        <w:rPr>
          <w:color w:val="000000" w:themeColor="text1"/>
          <w14:textFill>
            <w14:solidFill>
              <w14:schemeClr w14:val="tx1"/>
            </w14:solidFill>
          </w14:textFill>
        </w:rPr>
        <w:t>（1）潜在的重大危险事故及其后果；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（2）事故警报与报告的规定；</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（3）泄漏处置与基本防护知识；</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（4）疏散撤离的组织、方法和程序；</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（5）灭火器的使用以及灭火步骤训练；</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（6）基本个人防护知识；</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（7）在污染区行动时必须遵守的规则；</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（8）自救与互救的基本常识。</w:t>
      </w:r>
    </w:p>
    <w:p>
      <w:pPr>
        <w:pStyle w:val="16"/>
        <w:rPr>
          <w:color w:val="000000" w:themeColor="text1"/>
          <w14:textFill>
            <w14:solidFill>
              <w14:schemeClr w14:val="tx1"/>
            </w14:solidFill>
          </w14:textFill>
        </w:rPr>
      </w:pPr>
      <w:bookmarkStart w:id="209" w:name="_Toc468892724"/>
      <w:bookmarkStart w:id="210" w:name="_Toc486955396"/>
      <w:bookmarkStart w:id="211" w:name="_Toc421024382"/>
      <w:bookmarkStart w:id="212" w:name="_Toc445661751"/>
      <w:bookmarkStart w:id="213" w:name="_Toc486862595"/>
      <w:bookmarkStart w:id="214" w:name="_Toc43143231"/>
      <w:bookmarkStart w:id="215" w:name="_Toc373765677"/>
      <w:bookmarkStart w:id="216" w:name="_Toc94"/>
      <w:bookmarkStart w:id="217" w:name="_Toc443309542"/>
      <w:r>
        <w:rPr>
          <w:color w:val="000000" w:themeColor="text1"/>
          <w14:textFill>
            <w14:solidFill>
              <w14:schemeClr w14:val="tx1"/>
            </w14:solidFill>
          </w14:textFill>
        </w:rPr>
        <w:t>9.1.4应急培训要求</w:t>
      </w:r>
      <w:bookmarkEnd w:id="209"/>
      <w:bookmarkEnd w:id="210"/>
      <w:bookmarkEnd w:id="211"/>
      <w:bookmarkEnd w:id="212"/>
      <w:bookmarkEnd w:id="213"/>
      <w:bookmarkEnd w:id="214"/>
      <w:bookmarkEnd w:id="215"/>
      <w:bookmarkEnd w:id="216"/>
      <w:bookmarkEnd w:id="217"/>
    </w:p>
    <w:p>
      <w:pPr>
        <w:ind w:firstLine="560"/>
        <w:rPr>
          <w:color w:val="000000" w:themeColor="text1"/>
          <w14:textFill>
            <w14:solidFill>
              <w14:schemeClr w14:val="tx1"/>
            </w14:solidFill>
          </w14:textFill>
        </w:rPr>
      </w:pPr>
      <w:r>
        <w:rPr>
          <w:color w:val="000000" w:themeColor="text1"/>
          <w14:textFill>
            <w14:solidFill>
              <w14:schemeClr w14:val="tx1"/>
            </w14:solidFill>
          </w14:textFill>
        </w:rPr>
        <w:t>培训的形式可以根据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的实际特点，采取多种形式进行。如定期开设培训班、上课、事故讲座、广播、发放宣传资料以及利用公司各分厂内宣传栏和墙报等，使教育培训形象生动。同时必须满足以下四点：</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（1）针对性：针对可能的事故及承担的应急职责不同人员予以不同的培训内容；</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（2）周期性：厂内全体的培训一般每年一次，部门与功能性的培训每季一次；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（3）定期性：定期进行技能培训；</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（4）真实性：培训应贴近实际应急活动。</w:t>
      </w:r>
    </w:p>
    <w:p>
      <w:pPr>
        <w:pStyle w:val="18"/>
        <w:rPr>
          <w:color w:val="000000" w:themeColor="text1"/>
          <w14:textFill>
            <w14:solidFill>
              <w14:schemeClr w14:val="tx1"/>
            </w14:solidFill>
          </w14:textFill>
        </w:rPr>
      </w:pPr>
      <w:bookmarkStart w:id="218" w:name="_Toc43143232"/>
      <w:bookmarkStart w:id="219" w:name="_Toc28652"/>
      <w:r>
        <w:rPr>
          <w:color w:val="000000" w:themeColor="text1"/>
          <w14:textFill>
            <w14:solidFill>
              <w14:schemeClr w14:val="tx1"/>
            </w14:solidFill>
          </w14:textFill>
        </w:rPr>
        <w:t>9.2演练</w:t>
      </w:r>
      <w:bookmarkEnd w:id="218"/>
      <w:bookmarkEnd w:id="219"/>
    </w:p>
    <w:p>
      <w:pPr>
        <w:ind w:firstLine="560"/>
        <w:rPr>
          <w:color w:val="000000" w:themeColor="text1"/>
          <w14:textFill>
            <w14:solidFill>
              <w14:schemeClr w14:val="tx1"/>
            </w14:solidFill>
          </w14:textFill>
        </w:rPr>
      </w:pPr>
      <w:r>
        <w:rPr>
          <w:color w:val="000000" w:themeColor="text1"/>
          <w14:textFill>
            <w14:solidFill>
              <w14:schemeClr w14:val="tx1"/>
            </w14:solidFill>
          </w14:textFill>
        </w:rPr>
        <w:t>演练是检验应急预案的各部分或整体是否能有效的付诸行动，验证应急预案对可能出现的各种环境污染事故的适应性，找出应急准备工作中需要改善的地方，确保建立和保持可靠的通信渠道及应急人员的协同性，确保所有应急组织都熟悉并能够履行他们的职责，找出需要改善的潜在问题，提高整体应急反应能力。</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应急领导小组办公室应根据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实际，按照国务院《突发事件应急演练指南》（国务院应急管理办公室应急办函〔2009〕62号）的要求，结合应急预案，定期开展尾矿库突发环境事件应急处置演练。各成员单位应积极参与演练。演练结束后应及时进行总结。</w:t>
      </w:r>
    </w:p>
    <w:p>
      <w:pPr>
        <w:pStyle w:val="16"/>
        <w:rPr>
          <w:color w:val="000000" w:themeColor="text1"/>
          <w14:textFill>
            <w14:solidFill>
              <w14:schemeClr w14:val="tx1"/>
            </w14:solidFill>
          </w14:textFill>
        </w:rPr>
      </w:pPr>
      <w:bookmarkStart w:id="220" w:name="_Toc486955398"/>
      <w:bookmarkStart w:id="221" w:name="_Toc293332940"/>
      <w:bookmarkStart w:id="222" w:name="_Toc308449226"/>
      <w:bookmarkStart w:id="223" w:name="_Toc338258102"/>
      <w:bookmarkStart w:id="224" w:name="_Toc445661753"/>
      <w:bookmarkStart w:id="225" w:name="_Toc468892726"/>
      <w:bookmarkStart w:id="226" w:name="_Toc443309544"/>
      <w:bookmarkStart w:id="227" w:name="_Toc338256006"/>
      <w:bookmarkStart w:id="228" w:name="_Toc304821970"/>
      <w:bookmarkStart w:id="229" w:name="_Toc291579538"/>
      <w:bookmarkStart w:id="230" w:name="_Toc304792578"/>
      <w:bookmarkStart w:id="231" w:name="_Toc486862597"/>
      <w:bookmarkStart w:id="232" w:name="_Toc304362301"/>
      <w:bookmarkStart w:id="233" w:name="_Toc43143233"/>
      <w:bookmarkStart w:id="234" w:name="_Toc421024384"/>
      <w:bookmarkStart w:id="235" w:name="_Toc5085"/>
      <w:r>
        <w:rPr>
          <w:color w:val="000000" w:themeColor="text1"/>
          <w14:textFill>
            <w14:solidFill>
              <w14:schemeClr w14:val="tx1"/>
            </w14:solidFill>
          </w14:textFill>
        </w:rPr>
        <w:t>9.2.1演练准备</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pPr>
        <w:ind w:firstLine="560"/>
        <w:rPr>
          <w:color w:val="000000" w:themeColor="text1"/>
          <w14:textFill>
            <w14:solidFill>
              <w14:schemeClr w14:val="tx1"/>
            </w14:solidFill>
          </w14:textFill>
        </w:rPr>
      </w:pPr>
      <w:r>
        <w:rPr>
          <w:color w:val="000000" w:themeColor="text1"/>
          <w14:textFill>
            <w14:solidFill>
              <w14:schemeClr w14:val="tx1"/>
            </w14:solidFill>
          </w14:textFill>
        </w:rPr>
        <w:t>（1）应急救援办公室是演练的领导机构，是演练准备与实施的指挥部门，对演练实施全面控制。</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编制演练方案。由应急救援办公室确定演练目的、原则、规模、参演的部门；确定演练的性质和方法，选定演练事件与地点，规定演练的时间尺度和员工参与程度；确定实施计划、设计事故情景与处置方案。其中特别要注意的是，演练情景尽可能真实，并考虑应急设备故障问题，以检测备用系统。</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（3）制定演练现场规则。确保演习安全而制定的对有关演练和演练控制、参与人员职责、实际紧急事件、法规符合性等事项的规定或要求。</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（4）培训评价人员。应急救援办公室应确定评价人员数量和应具备的专业技能，指定评价人员，分配各自所负责评价的应急组织和演习目标。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（5）确定演练目标、区域、地点、所用器材、各参战队伍。根据演练范围和目的，确定展示以下演习目标。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应急演练目标见表9.2-1。</w:t>
      </w:r>
    </w:p>
    <w:p>
      <w:pPr>
        <w:snapToGrid w:val="0"/>
        <w:spacing w:before="190" w:beforeLines="50" w:after="190" w:afterLines="50"/>
        <w:ind w:firstLine="0" w:firstLineChars="0"/>
        <w:jc w:val="center"/>
        <w:rPr>
          <w:rFonts w:cs="Times New Roman"/>
          <w:b/>
          <w:color w:val="000000" w:themeColor="text1"/>
          <w14:textFill>
            <w14:solidFill>
              <w14:schemeClr w14:val="tx1"/>
            </w14:solidFill>
          </w14:textFill>
        </w:rPr>
      </w:pPr>
      <w:bookmarkStart w:id="236" w:name="_Ref443788435"/>
      <w:r>
        <w:rPr>
          <w:rFonts w:cs="Times New Roman"/>
          <w:b/>
          <w:color w:val="000000" w:themeColor="text1"/>
          <w14:textFill>
            <w14:solidFill>
              <w14:schemeClr w14:val="tx1"/>
            </w14:solidFill>
          </w14:textFill>
        </w:rPr>
        <w:t>表</w:t>
      </w:r>
      <w:bookmarkEnd w:id="236"/>
      <w:r>
        <w:rPr>
          <w:rFonts w:cs="Times New Roman"/>
          <w:b/>
          <w:color w:val="000000" w:themeColor="text1"/>
          <w14:textFill>
            <w14:solidFill>
              <w14:schemeClr w14:val="tx1"/>
            </w14:solidFill>
          </w14:textFill>
        </w:rPr>
        <w:t>9.2-1 应急演练目标</w:t>
      </w:r>
    </w:p>
    <w:tbl>
      <w:tblPr>
        <w:tblStyle w:val="31"/>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045"/>
        <w:gridCol w:w="2550"/>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658" w:type="dxa"/>
            <w:vAlign w:val="center"/>
          </w:tcPr>
          <w:p>
            <w:pPr>
              <w:snapToGrid w:val="0"/>
              <w:ind w:left="-188" w:leftChars="-67" w:right="-143" w:rightChars="-51"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序号</w:t>
            </w:r>
          </w:p>
        </w:tc>
        <w:tc>
          <w:tcPr>
            <w:tcW w:w="1045" w:type="dxa"/>
            <w:vAlign w:val="center"/>
          </w:tcPr>
          <w:p>
            <w:pPr>
              <w:snapToGrid w:val="0"/>
              <w:ind w:firstLine="0" w:firstLineChars="0"/>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目标</w:t>
            </w:r>
          </w:p>
        </w:tc>
        <w:tc>
          <w:tcPr>
            <w:tcW w:w="2550" w:type="dxa"/>
            <w:vAlign w:val="center"/>
          </w:tcPr>
          <w:p>
            <w:pPr>
              <w:snapToGrid w:val="0"/>
              <w:ind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展示内容</w:t>
            </w:r>
          </w:p>
        </w:tc>
        <w:tc>
          <w:tcPr>
            <w:tcW w:w="4445" w:type="dxa"/>
            <w:vAlign w:val="center"/>
          </w:tcPr>
          <w:p>
            <w:pPr>
              <w:snapToGrid w:val="0"/>
              <w:ind w:firstLine="0" w:firstLineChars="0"/>
              <w:jc w:val="center"/>
              <w:rPr>
                <w:rFonts w:cs="Times New Roman"/>
                <w:b/>
                <w:color w:val="000000" w:themeColor="text1"/>
                <w:sz w:val="24"/>
                <w:szCs w:val="24"/>
                <w14:textFill>
                  <w14:solidFill>
                    <w14:schemeClr w14:val="tx1"/>
                  </w14:solidFill>
                </w14:textFill>
              </w:rPr>
            </w:pPr>
            <w:r>
              <w:rPr>
                <w:rFonts w:cs="Times New Roman"/>
                <w:b/>
                <w:color w:val="000000" w:themeColor="text1"/>
                <w:sz w:val="24"/>
                <w:szCs w:val="24"/>
                <w14:textFill>
                  <w14:solidFill>
                    <w14:schemeClr w14:val="tx1"/>
                  </w14:solidFill>
                </w14:textFill>
              </w:rPr>
              <w:t>目标要求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应急</w:t>
            </w:r>
          </w:p>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动员</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展示通知应急组织，动员应急响应人员的能力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责任方采取系列举措，向应急响应人员发出警报，通知或动员有关应急响应人员各就各位；及时启动应急指挥部和其他应急支持设施，使相关应急设施从正常运转状态进入紧急运转状态。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2</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指挥和控制</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展示指挥、协调和控制应急响应活动的能力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责任方具备应急过程中控制所有响应行动的能力。事故现场指挥人员和应急组织、行动小组负责人都应按应急预案要求，建立事故指挥体系，展示指挥和控制应急响应行动的能力。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3</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事态</w:t>
            </w:r>
          </w:p>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评估</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展示获取事故信息，识别事故原因和致害物，判断事故影响范围及其潜在危险的能力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应具备通过各种方式和渠道，积极收集、获取事故信息，评估、调查人员伤亡和财产损失、现场危险性以及危险品泄漏等有关情况的能力；具备根据所获信息，判断事故影响范围，以及对公众和环境的中长期危害的能力；具备确定进一步调查所需资源的能力；具备及时通知场外应急组织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4</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资源</w:t>
            </w:r>
          </w:p>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管理</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展示动员和管理应急响应行动所需资源的能力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要求应急组织具备根据事故评估结果，识别应急资源需求的能力，以及动员和整合内外部应急资源的能力。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5</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通讯</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展示与所有应急响应地点、应急组织和应急响应人员有效通讯交流的能力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要求应急组织建立可靠的主通讯系统和备用通讯系统，以使与有关岗位的关键人员保持联系。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6</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应急</w:t>
            </w:r>
          </w:p>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设施</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展示应急设施、装备及其他应急支持资料的准备情况</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要求应急组织具备足够应急设施，且应急设施内装备和应急支持资料的准备与管理状况能满足支持应急响应活动的需要。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7</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警报与紧急公告</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展示向公众发出警报和宣传保护措施的能力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要求应急组织具备按照应急预案中的规定，迅速完成向一定区域内公众发布应急防护措施命令和信息的能力。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8</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应急响应人员安全</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展示监测、控制应急响应人员面临的危险的能力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要求应急组织具备保护应急响应人员安全和健康的能力，主要强调应急区域划分、个体保护装备配备、事态评估机制与通讯活动的管理。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9</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警戒与治安</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展示维护警戒区域秩序，控制交通流量，控制疏散区和安置区交通出入口的组织能力和资源</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要求责任方具备维护治安、管制疏散区域交通道口的能力，强调交通控制点设置、执勤人员配备和路障清理等活动的管理。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10</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紧急医疗服务</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展示有关现场急救处置、转运伤员的工作程序，交通工具、设施和服务人员的准备情况，以及医护人员、医疗设施的准备情况</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要求应急组织具备将伤病人员运往医疗机构的能力和为伤病人员提供医疗服务的能力。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11</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泄漏物控制</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展示采取有效措施遏制危险品溢漏，避免事态进一步恶化的能力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要求应急组织具备采取针对性措施对泄漏物进行围堵、收容、清洗的能力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12</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消防与抢险</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展示采取有效措施控制事故发展，及时扑灭火源的能力</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要求应急组织具备采取针对性措施，及时组织扑灭火源，有效控制事故的能力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8"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13</w:t>
            </w:r>
          </w:p>
        </w:tc>
        <w:tc>
          <w:tcPr>
            <w:tcW w:w="10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撤离与疏散</w:t>
            </w:r>
          </w:p>
        </w:tc>
        <w:tc>
          <w:tcPr>
            <w:tcW w:w="2550"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展示撤离、疏散程序以及服务人员的准备情况</w:t>
            </w:r>
          </w:p>
        </w:tc>
        <w:tc>
          <w:tcPr>
            <w:tcW w:w="4445" w:type="dxa"/>
            <w:vAlign w:val="center"/>
          </w:tcPr>
          <w:p>
            <w:pPr>
              <w:snapToGrid w:val="0"/>
              <w:ind w:firstLine="0" w:firstLineChars="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要求应急组织具备安排疏散路线、交通工具、目的地的能力以及对疏散人员交通控制、引导、自身防护措施、治安、避免恐慌情绪的能力并对人群疏散进行跟踪、记录。</w:t>
            </w:r>
          </w:p>
        </w:tc>
      </w:tr>
    </w:tbl>
    <w:p>
      <w:pPr>
        <w:pStyle w:val="16"/>
        <w:rPr>
          <w:color w:val="000000" w:themeColor="text1"/>
          <w14:textFill>
            <w14:solidFill>
              <w14:schemeClr w14:val="tx1"/>
            </w14:solidFill>
          </w14:textFill>
        </w:rPr>
      </w:pPr>
      <w:bookmarkStart w:id="237" w:name="_Toc43143234"/>
      <w:bookmarkStart w:id="238" w:name="_Toc445661754"/>
      <w:bookmarkStart w:id="239" w:name="_Toc486955399"/>
      <w:bookmarkStart w:id="240" w:name="_Toc421024385"/>
      <w:bookmarkStart w:id="241" w:name="_Toc486862598"/>
      <w:bookmarkStart w:id="242" w:name="_Toc443309545"/>
      <w:bookmarkStart w:id="243" w:name="_Toc468892727"/>
      <w:bookmarkStart w:id="244" w:name="_Toc7078"/>
      <w:bookmarkStart w:id="245" w:name="_Toc235616901"/>
      <w:bookmarkStart w:id="246" w:name="_Toc293332941"/>
      <w:bookmarkStart w:id="247" w:name="_Toc291579539"/>
      <w:bookmarkStart w:id="248" w:name="_Toc304821971"/>
      <w:bookmarkStart w:id="249" w:name="_Toc304792579"/>
      <w:bookmarkStart w:id="250" w:name="_Toc304362302"/>
      <w:bookmarkStart w:id="251" w:name="_Toc308449227"/>
      <w:bookmarkStart w:id="252" w:name="_Toc338256007"/>
      <w:bookmarkStart w:id="253" w:name="_Toc338258103"/>
      <w:r>
        <w:rPr>
          <w:color w:val="000000" w:themeColor="text1"/>
          <w14:textFill>
            <w14:solidFill>
              <w14:schemeClr w14:val="tx1"/>
            </w14:solidFill>
          </w14:textFill>
        </w:rPr>
        <w:t>9.2.2演练方式</w:t>
      </w:r>
      <w:bookmarkEnd w:id="237"/>
      <w:bookmarkEnd w:id="238"/>
      <w:bookmarkEnd w:id="239"/>
      <w:bookmarkEnd w:id="240"/>
      <w:bookmarkEnd w:id="241"/>
      <w:bookmarkEnd w:id="242"/>
      <w:bookmarkEnd w:id="243"/>
      <w:bookmarkEnd w:id="244"/>
    </w:p>
    <w:p>
      <w:pPr>
        <w:ind w:firstLine="560"/>
        <w:rPr>
          <w:color w:val="000000" w:themeColor="text1"/>
          <w14:textFill>
            <w14:solidFill>
              <w14:schemeClr w14:val="tx1"/>
            </w14:solidFill>
          </w14:textFill>
        </w:rPr>
      </w:pPr>
      <w:r>
        <w:rPr>
          <w:color w:val="000000" w:themeColor="text1"/>
          <w14:textFill>
            <w14:solidFill>
              <w14:schemeClr w14:val="tx1"/>
            </w14:solidFill>
          </w14:textFill>
        </w:rPr>
        <w:t>演练的形式可以根据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的实际特点，采取多种形式进行。演练一般至少每年一次，且除定期进行全面的演习和训练外，还要针对通讯、消防、医疗、污染物控制、监测、净化和消洗，以及人员疏散等关键要素进行演练，使演练更加合理性、具体性和可操作性。演练方式分为桌面演练和实战演练两种。</w:t>
      </w:r>
    </w:p>
    <w:p>
      <w:pPr>
        <w:pStyle w:val="16"/>
        <w:rPr>
          <w:color w:val="000000" w:themeColor="text1"/>
          <w14:textFill>
            <w14:solidFill>
              <w14:schemeClr w14:val="tx1"/>
            </w14:solidFill>
          </w14:textFill>
        </w:rPr>
      </w:pPr>
      <w:bookmarkStart w:id="254" w:name="_Toc468892728"/>
      <w:bookmarkStart w:id="255" w:name="_Toc43143235"/>
      <w:bookmarkStart w:id="256" w:name="_Toc445661755"/>
      <w:bookmarkStart w:id="257" w:name="_Toc1833"/>
      <w:bookmarkStart w:id="258" w:name="_Toc486955400"/>
      <w:bookmarkStart w:id="259" w:name="_Toc443309546"/>
      <w:bookmarkStart w:id="260" w:name="_Toc421024386"/>
      <w:bookmarkStart w:id="261" w:name="_Toc486862599"/>
      <w:r>
        <w:rPr>
          <w:color w:val="000000" w:themeColor="text1"/>
          <w14:textFill>
            <w14:solidFill>
              <w14:schemeClr w14:val="tx1"/>
            </w14:solidFill>
          </w14:textFill>
        </w:rPr>
        <w:t>9.2.3演练范围与频次</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pPr>
        <w:ind w:firstLine="560"/>
        <w:rPr>
          <w:color w:val="000000" w:themeColor="text1"/>
          <w14:textFill>
            <w14:solidFill>
              <w14:schemeClr w14:val="tx1"/>
            </w14:solidFill>
          </w14:textFill>
        </w:rPr>
      </w:pPr>
      <w:r>
        <w:rPr>
          <w:color w:val="000000" w:themeColor="text1"/>
          <w14:textFill>
            <w14:solidFill>
              <w14:schemeClr w14:val="tx1"/>
            </w14:solidFill>
          </w14:textFill>
        </w:rPr>
        <w:t>演练在</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厂区范围内进行。演练频次包括：</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（1）车间演练以报警、报告程序、现场应急处置、紧急疏散等方式熟悉应急响应和某项应急功能的单项演练，演练频次每年至少一次。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尾矿库全体演练以多个应急小组之间或某些外部应急组织之间相互协调进行的演练与</w:t>
      </w:r>
      <w:r>
        <w:rPr>
          <w:rFonts w:hint="eastAsia"/>
          <w:color w:val="000000" w:themeColor="text1"/>
          <w14:textFill>
            <w14:solidFill>
              <w14:schemeClr w14:val="tx1"/>
            </w14:solidFill>
          </w14:textFill>
        </w:rPr>
        <w:t>云南安宁泰源工贸集团有限公司景洪分公司应急</w:t>
      </w:r>
      <w:r>
        <w:rPr>
          <w:color w:val="000000" w:themeColor="text1"/>
          <w14:textFill>
            <w14:solidFill>
              <w14:schemeClr w14:val="tx1"/>
            </w14:solidFill>
          </w14:textFill>
        </w:rPr>
        <w:t>预案全部或部分功能的综合演练，演练频次每年至少一次。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（3）政府有关部门的演练，</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积极组织参加。</w:t>
      </w:r>
    </w:p>
    <w:p>
      <w:pPr>
        <w:pStyle w:val="16"/>
        <w:rPr>
          <w:color w:val="000000" w:themeColor="text1"/>
          <w14:textFill>
            <w14:solidFill>
              <w14:schemeClr w14:val="tx1"/>
            </w14:solidFill>
          </w14:textFill>
        </w:rPr>
      </w:pPr>
      <w:bookmarkStart w:id="262" w:name="_Toc443309547"/>
      <w:bookmarkStart w:id="263" w:name="_Toc293332942"/>
      <w:bookmarkStart w:id="264" w:name="_Toc421024387"/>
      <w:bookmarkStart w:id="265" w:name="_Toc291579540"/>
      <w:bookmarkStart w:id="266" w:name="_Toc304362303"/>
      <w:bookmarkStart w:id="267" w:name="_Toc486862600"/>
      <w:bookmarkStart w:id="268" w:name="_Toc445661756"/>
      <w:bookmarkStart w:id="269" w:name="_Toc304792580"/>
      <w:bookmarkStart w:id="270" w:name="_Toc468892729"/>
      <w:bookmarkStart w:id="271" w:name="_Toc308449228"/>
      <w:bookmarkStart w:id="272" w:name="_Toc486955401"/>
      <w:bookmarkStart w:id="273" w:name="_Toc338256008"/>
      <w:bookmarkStart w:id="274" w:name="_Toc235616902"/>
      <w:bookmarkStart w:id="275" w:name="_Toc338258104"/>
      <w:bookmarkStart w:id="276" w:name="_Toc304821972"/>
      <w:bookmarkStart w:id="277" w:name="_Toc43143236"/>
      <w:bookmarkStart w:id="278" w:name="_Toc25338"/>
      <w:r>
        <w:rPr>
          <w:color w:val="000000" w:themeColor="text1"/>
          <w14:textFill>
            <w14:solidFill>
              <w14:schemeClr w14:val="tx1"/>
            </w14:solidFill>
          </w14:textFill>
        </w:rPr>
        <w:t>9.2.4演练组织</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pPr>
        <w:ind w:firstLine="560"/>
        <w:rPr>
          <w:color w:val="000000" w:themeColor="text1"/>
          <w14:textFill>
            <w14:solidFill>
              <w14:schemeClr w14:val="tx1"/>
            </w14:solidFill>
          </w14:textFill>
        </w:rPr>
      </w:pPr>
      <w:r>
        <w:rPr>
          <w:color w:val="000000" w:themeColor="text1"/>
          <w14:textFill>
            <w14:solidFill>
              <w14:schemeClr w14:val="tx1"/>
            </w14:solidFill>
          </w14:textFill>
        </w:rPr>
        <w:t>按照应急预案，由应急指挥部统一组织，由应急指挥部办公室负责实施。</w:t>
      </w:r>
    </w:p>
    <w:p>
      <w:pPr>
        <w:pStyle w:val="18"/>
        <w:rPr>
          <w:color w:val="000000" w:themeColor="text1"/>
          <w14:textFill>
            <w14:solidFill>
              <w14:schemeClr w14:val="tx1"/>
            </w14:solidFill>
          </w14:textFill>
        </w:rPr>
      </w:pPr>
      <w:bookmarkStart w:id="279" w:name="_Toc43143237"/>
      <w:bookmarkStart w:id="280" w:name="_Toc16301"/>
      <w:r>
        <w:rPr>
          <w:color w:val="000000" w:themeColor="text1"/>
          <w14:textFill>
            <w14:solidFill>
              <w14:schemeClr w14:val="tx1"/>
            </w14:solidFill>
          </w14:textFill>
        </w:rPr>
        <w:t>9.3记录与考核</w:t>
      </w:r>
      <w:bookmarkEnd w:id="279"/>
      <w:bookmarkEnd w:id="280"/>
    </w:p>
    <w:p>
      <w:pPr>
        <w:pStyle w:val="16"/>
        <w:rPr>
          <w:color w:val="000000" w:themeColor="text1"/>
          <w14:textFill>
            <w14:solidFill>
              <w14:schemeClr w14:val="tx1"/>
            </w14:solidFill>
          </w14:textFill>
        </w:rPr>
      </w:pPr>
      <w:bookmarkStart w:id="281" w:name="_Toc486862602"/>
      <w:bookmarkStart w:id="282" w:name="_Toc486955403"/>
      <w:bookmarkStart w:id="283" w:name="_Toc14229"/>
      <w:bookmarkStart w:id="284" w:name="_Toc43143238"/>
      <w:bookmarkStart w:id="285" w:name="_Toc443309549"/>
      <w:bookmarkStart w:id="286" w:name="_Toc445661758"/>
      <w:bookmarkStart w:id="287" w:name="_Toc437711870"/>
      <w:bookmarkStart w:id="288" w:name="_Toc468892731"/>
      <w:r>
        <w:rPr>
          <w:color w:val="000000" w:themeColor="text1"/>
          <w14:textFill>
            <w14:solidFill>
              <w14:schemeClr w14:val="tx1"/>
            </w14:solidFill>
          </w14:textFill>
        </w:rPr>
        <w:t>9.3.1演练记录内容</w:t>
      </w:r>
      <w:bookmarkEnd w:id="281"/>
      <w:bookmarkEnd w:id="282"/>
      <w:bookmarkEnd w:id="283"/>
      <w:bookmarkEnd w:id="284"/>
      <w:bookmarkEnd w:id="285"/>
      <w:bookmarkEnd w:id="286"/>
      <w:bookmarkEnd w:id="287"/>
      <w:bookmarkEnd w:id="288"/>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组织的培训和演练，都应有专人记录，并建立培训和演练的专门档案。对于培训和演练过程中，认真踏实、有较好成绩的员工，应给与奖励。策划小组负责人应在演习结束规定期限内，根据评价人员演习过程中收集和整理的资料，以及演习人员和公开会议中获得的信息，编写演习报告并提交给有关政府部门。演习报告是对演习情况的详细说明和对该次演习的评价。</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演习报告中应包括如下内容：</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（1）本次演习的背景信息，含演习地点、时间、气象条件等；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（2）参与演习的应急组织；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（3）演习情景与演习方案；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（4）演习目标、演习范围和签订的演示协议；</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（5）应急情况的全面评价，含对前次演习不足项在本次演习中表现的描述；</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（6）演习发现与纠正措施建议；</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（7）对应急预案和有关执行程序的改进建议；</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（8）对应急设施、设备维护与更新方面的建议；</w:t>
      </w:r>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（9）对应急组织、应急响应人员能力与培训方面的建议。</w:t>
      </w:r>
    </w:p>
    <w:p>
      <w:pPr>
        <w:pStyle w:val="16"/>
        <w:rPr>
          <w:color w:val="000000" w:themeColor="text1"/>
          <w14:textFill>
            <w14:solidFill>
              <w14:schemeClr w14:val="tx1"/>
            </w14:solidFill>
          </w14:textFill>
        </w:rPr>
      </w:pPr>
      <w:bookmarkStart w:id="289" w:name="_Toc486862603"/>
      <w:bookmarkStart w:id="290" w:name="_Toc486955404"/>
      <w:bookmarkStart w:id="291" w:name="_Toc19078"/>
      <w:bookmarkStart w:id="292" w:name="_Toc43143239"/>
      <w:bookmarkStart w:id="293" w:name="_Toc468892732"/>
      <w:bookmarkStart w:id="294" w:name="_Toc443309550"/>
      <w:bookmarkStart w:id="295" w:name="_Toc437711871"/>
      <w:bookmarkStart w:id="296" w:name="_Toc445661759"/>
      <w:r>
        <w:rPr>
          <w:color w:val="000000" w:themeColor="text1"/>
          <w14:textFill>
            <w14:solidFill>
              <w14:schemeClr w14:val="tx1"/>
            </w14:solidFill>
          </w14:textFill>
        </w:rPr>
        <w:t>9.3.2演练考核</w:t>
      </w:r>
      <w:bookmarkEnd w:id="289"/>
      <w:bookmarkEnd w:id="290"/>
      <w:bookmarkEnd w:id="291"/>
      <w:bookmarkEnd w:id="292"/>
      <w:bookmarkEnd w:id="293"/>
      <w:bookmarkEnd w:id="294"/>
      <w:bookmarkEnd w:id="295"/>
      <w:bookmarkEnd w:id="296"/>
    </w:p>
    <w:p>
      <w:pPr>
        <w:ind w:firstLine="560"/>
        <w:rPr>
          <w:color w:val="000000" w:themeColor="text1"/>
          <w14:textFill>
            <w14:solidFill>
              <w14:schemeClr w14:val="tx1"/>
            </w14:solidFill>
          </w14:textFill>
        </w:rPr>
      </w:pPr>
      <w:r>
        <w:rPr>
          <w:color w:val="000000" w:themeColor="text1"/>
          <w14:textFill>
            <w14:solidFill>
              <w14:schemeClr w14:val="tx1"/>
            </w14:solidFill>
          </w14:textFill>
        </w:rPr>
        <w:t>考评组根据实际演练情况、演练记录等对演练各环节进行考核，并对考核结果进行公布。</w:t>
      </w:r>
    </w:p>
    <w:p>
      <w:pPr>
        <w:ind w:firstLine="560"/>
        <w:rPr>
          <w:rFonts w:cs="Times New Roman"/>
          <w:color w:val="000000" w:themeColor="text1"/>
          <w14:textFill>
            <w14:solidFill>
              <w14:schemeClr w14:val="tx1"/>
            </w14:solidFill>
          </w14:textFill>
        </w:rPr>
      </w:pPr>
    </w:p>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r>
        <w:rPr>
          <w:rFonts w:ascii="Times New Roman" w:eastAsia="楷体_GB2312" w:cs="Times New Roman"/>
          <w:bCs/>
          <w:color w:val="000000" w:themeColor="text1"/>
          <w:sz w:val="44"/>
          <w:szCs w:val="44"/>
          <w14:textFill>
            <w14:solidFill>
              <w14:schemeClr w14:val="tx1"/>
            </w14:solidFill>
          </w14:textFill>
        </w:rPr>
        <w:br w:type="page"/>
      </w:r>
      <w:bookmarkStart w:id="297" w:name="_Toc29600"/>
      <w:bookmarkStart w:id="298" w:name="_Toc43143240"/>
      <w:r>
        <w:rPr>
          <w:rFonts w:ascii="Times New Roman" w:eastAsia="楷体_GB2312" w:cs="Times New Roman"/>
          <w:bCs/>
          <w:color w:val="000000" w:themeColor="text1"/>
          <w:szCs w:val="32"/>
          <w14:textFill>
            <w14:solidFill>
              <w14:schemeClr w14:val="tx1"/>
            </w14:solidFill>
          </w14:textFill>
        </w:rPr>
        <w:t>10奖罚</w:t>
      </w:r>
      <w:bookmarkEnd w:id="297"/>
      <w:bookmarkEnd w:id="298"/>
    </w:p>
    <w:p>
      <w:pPr>
        <w:pStyle w:val="18"/>
        <w:rPr>
          <w:color w:val="000000" w:themeColor="text1"/>
          <w14:textFill>
            <w14:solidFill>
              <w14:schemeClr w14:val="tx1"/>
            </w14:solidFill>
          </w14:textFill>
        </w:rPr>
      </w:pPr>
      <w:bookmarkStart w:id="299" w:name="_Toc22053682"/>
      <w:bookmarkStart w:id="300" w:name="_Toc17467872"/>
      <w:bookmarkStart w:id="301" w:name="_Toc486955406"/>
      <w:bookmarkStart w:id="302" w:name="_Toc6333"/>
      <w:bookmarkStart w:id="303" w:name="_Toc486862605"/>
      <w:bookmarkStart w:id="304" w:name="_Toc7357"/>
      <w:bookmarkStart w:id="305" w:name="_Toc43143241"/>
      <w:r>
        <w:rPr>
          <w:color w:val="000000" w:themeColor="text1"/>
          <w14:textFill>
            <w14:solidFill>
              <w14:schemeClr w14:val="tx1"/>
            </w14:solidFill>
          </w14:textFill>
        </w:rPr>
        <w:t>10.1事故应急救援工作实行奖励制</w:t>
      </w:r>
      <w:bookmarkEnd w:id="299"/>
      <w:bookmarkEnd w:id="300"/>
      <w:bookmarkEnd w:id="301"/>
      <w:bookmarkEnd w:id="302"/>
      <w:bookmarkEnd w:id="303"/>
      <w:r>
        <w:rPr>
          <w:color w:val="000000" w:themeColor="text1"/>
          <w14:textFill>
            <w14:solidFill>
              <w14:schemeClr w14:val="tx1"/>
            </w14:solidFill>
          </w14:textFill>
        </w:rPr>
        <w:t>度</w:t>
      </w:r>
      <w:bookmarkEnd w:id="304"/>
      <w:bookmarkEnd w:id="305"/>
    </w:p>
    <w:p>
      <w:pPr>
        <w:ind w:firstLine="560"/>
        <w:rPr>
          <w:color w:val="000000" w:themeColor="text1"/>
          <w14:textFill>
            <w14:solidFill>
              <w14:schemeClr w14:val="tx1"/>
            </w14:solidFill>
          </w14:textFill>
        </w:rPr>
      </w:pPr>
      <w:r>
        <w:rPr>
          <w:color w:val="000000" w:themeColor="text1"/>
          <w14:textFill>
            <w14:solidFill>
              <w14:schemeClr w14:val="tx1"/>
            </w14:solidFill>
          </w14:textFill>
        </w:rPr>
        <w:t>将处置突发环境事件纳入公司经济责任制考核。在突发环境事件应急救援工作中，有下列之一的单位和个人，应依据有关规定给予额外的奖励：</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（1）出色完成突发环境事件应急处置任务，成绩显著的；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（2）对事件应急准备与响应提出重大建议，实施效果显著的；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（3）有其他特殊贡献的。</w:t>
      </w:r>
    </w:p>
    <w:p>
      <w:pPr>
        <w:pStyle w:val="18"/>
        <w:rPr>
          <w:color w:val="000000" w:themeColor="text1"/>
          <w14:textFill>
            <w14:solidFill>
              <w14:schemeClr w14:val="tx1"/>
            </w14:solidFill>
          </w14:textFill>
        </w:rPr>
      </w:pPr>
      <w:bookmarkStart w:id="306" w:name="_Toc5529"/>
      <w:bookmarkStart w:id="307" w:name="_Toc43143242"/>
      <w:bookmarkStart w:id="308" w:name="_Toc5061"/>
      <w:bookmarkStart w:id="309" w:name="_Toc486955407"/>
      <w:bookmarkStart w:id="310" w:name="_Toc22053683"/>
      <w:bookmarkStart w:id="311" w:name="_Toc17467873"/>
      <w:bookmarkStart w:id="312" w:name="_Toc486862606"/>
      <w:r>
        <w:rPr>
          <w:color w:val="000000" w:themeColor="text1"/>
          <w14:textFill>
            <w14:solidFill>
              <w14:schemeClr w14:val="tx1"/>
            </w14:solidFill>
          </w14:textFill>
        </w:rPr>
        <w:t>10.2事故应急救援工作实行处罚制度</w:t>
      </w:r>
      <w:bookmarkEnd w:id="306"/>
      <w:bookmarkEnd w:id="307"/>
      <w:bookmarkEnd w:id="308"/>
      <w:bookmarkEnd w:id="309"/>
      <w:bookmarkEnd w:id="310"/>
      <w:bookmarkEnd w:id="311"/>
      <w:bookmarkEnd w:id="312"/>
    </w:p>
    <w:p>
      <w:pPr>
        <w:ind w:firstLine="560"/>
        <w:rPr>
          <w:color w:val="000000" w:themeColor="text1"/>
          <w14:textFill>
            <w14:solidFill>
              <w14:schemeClr w14:val="tx1"/>
            </w14:solidFill>
          </w14:textFill>
        </w:rPr>
      </w:pPr>
      <w:r>
        <w:rPr>
          <w:color w:val="000000" w:themeColor="text1"/>
          <w14:textFill>
            <w14:solidFill>
              <w14:schemeClr w14:val="tx1"/>
            </w14:solidFill>
          </w14:textFill>
        </w:rPr>
        <w:t>对隐瞒、谎报、漏报、故意延迟不报、不服从指挥、未按规定及时采取措施处理突发事件或处置不当、处置不力造成后果的，导致事态扩大的部门或有关责任人的责任进行追究，并按国家或本公司的有关规定给予处理，视情节分别作警告、罚款、辞退处理；情节严重造成严重后果、触犯法律构成犯罪的，要依据《中华人民共和国突发事件应对法》（中华人民共和国主席令第六十九号，自2007年11月1日起施行）及相关法律法规严肃追究责任，构成犯罪的，移交司法机关追究刑事责任。在突发环境事件应急工作中，有下列行为之一的，对有关责任人员视情节和造成的后果，依法追究责任。构成犯罪的，由司法机关依法追究刑事责任：</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（1）不认真履行环保法律、法规，引发环境事件的；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（2）不按照规定制定突发环境事件应急预案，拒绝承担突发环境事件应急责任的；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（3）不按规定报告、通报突发环境事件真实情况的；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（4）拒不执行突发环境事件应急预案，不服从命令和指挥，或者在事件应急响应时临阵脱逃的；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（5）盗窃、贪污、挪用环境事件应急资金、装备和物资的；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（6）阻碍环境事件应急工作人员履行职务的；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（7）散布谣言，扰乱社会秩序的；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（8）有其他对环境事件应急工作造成危害行为的。</w:t>
      </w:r>
    </w:p>
    <w:p>
      <w:pPr>
        <w:pStyle w:val="30"/>
        <w:ind w:left="560" w:firstLine="560"/>
        <w:rPr>
          <w:rFonts w:cs="Times New Roman"/>
          <w:color w:val="000000" w:themeColor="text1"/>
          <w14:textFill>
            <w14:solidFill>
              <w14:schemeClr w14:val="tx1"/>
            </w14:solidFill>
          </w14:textFill>
        </w:rPr>
      </w:pPr>
    </w:p>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r>
        <w:rPr>
          <w:rFonts w:ascii="Times New Roman" w:eastAsia="楷体_GB2312" w:cs="Times New Roman"/>
          <w:bCs/>
          <w:color w:val="000000" w:themeColor="text1"/>
          <w:sz w:val="44"/>
          <w:szCs w:val="44"/>
          <w14:textFill>
            <w14:solidFill>
              <w14:schemeClr w14:val="tx1"/>
            </w14:solidFill>
          </w14:textFill>
        </w:rPr>
        <w:br w:type="page"/>
      </w:r>
      <w:bookmarkStart w:id="313" w:name="_Toc43143243"/>
      <w:bookmarkStart w:id="314" w:name="_Toc27165"/>
      <w:r>
        <w:rPr>
          <w:rFonts w:ascii="Times New Roman" w:eastAsia="楷体_GB2312" w:cs="Times New Roman"/>
          <w:bCs/>
          <w:color w:val="000000" w:themeColor="text1"/>
          <w:szCs w:val="32"/>
          <w14:textFill>
            <w14:solidFill>
              <w14:schemeClr w14:val="tx1"/>
            </w14:solidFill>
          </w14:textFill>
        </w:rPr>
        <w:t>11保障措施</w:t>
      </w:r>
      <w:bookmarkEnd w:id="313"/>
      <w:bookmarkEnd w:id="314"/>
    </w:p>
    <w:p>
      <w:pPr>
        <w:pStyle w:val="18"/>
        <w:rPr>
          <w:color w:val="000000" w:themeColor="text1"/>
          <w14:textFill>
            <w14:solidFill>
              <w14:schemeClr w14:val="tx1"/>
            </w14:solidFill>
          </w14:textFill>
        </w:rPr>
      </w:pPr>
      <w:bookmarkStart w:id="315" w:name="_Toc43143244"/>
      <w:bookmarkStart w:id="316" w:name="_Toc7229"/>
      <w:r>
        <w:rPr>
          <w:color w:val="000000" w:themeColor="text1"/>
          <w14:textFill>
            <w14:solidFill>
              <w14:schemeClr w14:val="tx1"/>
            </w14:solidFill>
          </w14:textFill>
        </w:rPr>
        <w:t>11.1人力资源保障</w:t>
      </w:r>
      <w:bookmarkEnd w:id="315"/>
      <w:bookmarkEnd w:id="316"/>
    </w:p>
    <w:p>
      <w:pPr>
        <w:ind w:firstLine="560"/>
        <w:rPr>
          <w:color w:val="000000" w:themeColor="text1"/>
          <w14:textFill>
            <w14:solidFill>
              <w14:schemeClr w14:val="tx1"/>
            </w14:solidFill>
          </w14:textFill>
        </w:rPr>
      </w:pPr>
      <w:r>
        <w:rPr>
          <w:color w:val="000000" w:themeColor="text1"/>
          <w14:textFill>
            <w14:solidFill>
              <w14:schemeClr w14:val="tx1"/>
            </w14:solidFill>
          </w14:textFill>
        </w:rPr>
        <w:t>为保障</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尾矿库、尾矿输送管线网、回水管网的正常运行，公司设置专门对尾矿库进行管理的人员，其余应急所需人员则从</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现有职工进行补充。公司成立了突发环境事件应急领导小组，下设</w:t>
      </w:r>
      <w:r>
        <w:rPr>
          <w:rFonts w:hint="eastAsia"/>
          <w:color w:val="000000" w:themeColor="text1"/>
          <w14:textFill>
            <w14:solidFill>
              <w14:schemeClr w14:val="tx1"/>
            </w14:solidFill>
          </w14:textFill>
        </w:rPr>
        <w:t>信息通讯组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后勤救护组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环境保护组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抢险维修组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警戒疏散组共5个</w:t>
      </w:r>
      <w:r>
        <w:rPr>
          <w:color w:val="000000" w:themeColor="text1"/>
          <w14:textFill>
            <w14:solidFill>
              <w14:schemeClr w14:val="tx1"/>
            </w14:solidFill>
          </w14:textFill>
        </w:rPr>
        <w:t>应急小组，具备</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尾矿库安全环保管理人力资源保障。</w:t>
      </w:r>
    </w:p>
    <w:p>
      <w:pPr>
        <w:pStyle w:val="18"/>
        <w:rPr>
          <w:color w:val="000000" w:themeColor="text1"/>
          <w14:textFill>
            <w14:solidFill>
              <w14:schemeClr w14:val="tx1"/>
            </w14:solidFill>
          </w14:textFill>
        </w:rPr>
      </w:pPr>
      <w:bookmarkStart w:id="317" w:name="_Toc313018037"/>
      <w:bookmarkStart w:id="318" w:name="_Toc351989728"/>
      <w:bookmarkStart w:id="319" w:name="_Toc43143245"/>
      <w:bookmarkStart w:id="320" w:name="_Toc334883421"/>
      <w:bookmarkStart w:id="321" w:name="_Toc334884004"/>
      <w:bookmarkStart w:id="322" w:name="_Toc74623075"/>
      <w:bookmarkStart w:id="323" w:name="_Toc28678"/>
      <w:r>
        <w:rPr>
          <w:color w:val="000000" w:themeColor="text1"/>
          <w14:textFill>
            <w14:solidFill>
              <w14:schemeClr w14:val="tx1"/>
            </w14:solidFill>
          </w14:textFill>
        </w:rPr>
        <w:t>11.2财力保障</w:t>
      </w:r>
      <w:bookmarkEnd w:id="317"/>
      <w:bookmarkEnd w:id="318"/>
      <w:bookmarkEnd w:id="319"/>
      <w:bookmarkEnd w:id="320"/>
      <w:bookmarkEnd w:id="321"/>
      <w:bookmarkEnd w:id="322"/>
      <w:bookmarkEnd w:id="323"/>
    </w:p>
    <w:p>
      <w:pPr>
        <w:ind w:firstLine="560"/>
        <w:rPr>
          <w:color w:val="000000" w:themeColor="text1"/>
          <w14:textFill>
            <w14:solidFill>
              <w14:schemeClr w14:val="tx1"/>
            </w14:solidFill>
          </w14:textFill>
        </w:rPr>
      </w:pPr>
      <w:r>
        <w:rPr>
          <w:color w:val="000000" w:themeColor="text1"/>
          <w14:textFill>
            <w14:solidFill>
              <w14:schemeClr w14:val="tx1"/>
            </w14:solidFill>
          </w14:textFill>
        </w:rPr>
        <w:t>为保障</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尾矿输送管线网、回水管网的正常运行，避免突发环境事件的发生，结合公司实际情况，按照财政部相关要求，按比例从生产收入中提取专项资金，建立突发环境污染事故应急专项账户，专门用于应急救援、善后处置以及完善和改进企业污染物处置条件的专项资金，专项资金由公司建立，由地方相关部门监管，一旦发生事故，公司向相关部门申请启用此项资金，其他应急所需经费由公司财务列支。</w:t>
      </w:r>
    </w:p>
    <w:p>
      <w:pPr>
        <w:pStyle w:val="18"/>
        <w:rPr>
          <w:color w:val="000000" w:themeColor="text1"/>
          <w14:textFill>
            <w14:solidFill>
              <w14:schemeClr w14:val="tx1"/>
            </w14:solidFill>
          </w14:textFill>
        </w:rPr>
      </w:pPr>
      <w:bookmarkStart w:id="324" w:name="_Toc43143246"/>
      <w:bookmarkStart w:id="325" w:name="_Toc2716"/>
      <w:bookmarkStart w:id="326" w:name="_Toc74623076"/>
      <w:bookmarkStart w:id="327" w:name="_Toc334883422"/>
      <w:bookmarkStart w:id="328" w:name="_Toc351989729"/>
      <w:bookmarkStart w:id="329" w:name="_Toc334884005"/>
      <w:bookmarkStart w:id="330" w:name="_Toc313018038"/>
      <w:r>
        <w:rPr>
          <w:color w:val="000000" w:themeColor="text1"/>
          <w14:textFill>
            <w14:solidFill>
              <w14:schemeClr w14:val="tx1"/>
            </w14:solidFill>
          </w14:textFill>
        </w:rPr>
        <w:t>11.3物资保障</w:t>
      </w:r>
      <w:bookmarkEnd w:id="324"/>
      <w:bookmarkEnd w:id="325"/>
      <w:bookmarkEnd w:id="326"/>
      <w:bookmarkEnd w:id="327"/>
      <w:bookmarkEnd w:id="328"/>
      <w:bookmarkEnd w:id="329"/>
      <w:bookmarkEnd w:id="330"/>
    </w:p>
    <w:p>
      <w:pPr>
        <w:ind w:firstLine="560"/>
        <w:rPr>
          <w:color w:val="000000" w:themeColor="text1"/>
          <w14:textFill>
            <w14:solidFill>
              <w14:schemeClr w14:val="tx1"/>
            </w14:solidFill>
          </w14:textFill>
        </w:rPr>
      </w:pPr>
      <w:r>
        <w:rPr>
          <w:color w:val="000000" w:themeColor="text1"/>
          <w14:textFill>
            <w14:solidFill>
              <w14:schemeClr w14:val="tx1"/>
            </w14:solidFill>
          </w14:textFill>
        </w:rPr>
        <w:t>公司应做好应急救援设备、器材、防护装备、药品等保障工作，确保经费、物资供应，对应急救援设备、设施要定期进行检测、维护、更新，确保性能完好。</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（1）抢修装备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抢修装备种类：装载机、挖机、编织袋、沙包、土工布、防渗膜、潜水泵、排水胶管、锄头、铁锹等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装备维修保管：</w:t>
      </w:r>
      <w:r>
        <w:rPr>
          <w:rFonts w:hint="eastAsia"/>
          <w:color w:val="000000" w:themeColor="text1"/>
          <w14:textFill>
            <w14:solidFill>
              <w14:schemeClr w14:val="tx1"/>
            </w14:solidFill>
          </w14:textFill>
        </w:rPr>
        <w:t>由</w:t>
      </w:r>
      <w:r>
        <w:rPr>
          <w:color w:val="000000" w:themeColor="text1"/>
          <w14:textFill>
            <w14:solidFill>
              <w14:schemeClr w14:val="tx1"/>
            </w14:solidFill>
          </w14:textFill>
        </w:rPr>
        <w:t>后勤保障组保管、监管。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（2）个人防护装备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个人防护装备种类：防化服、手套、防护面罩、雨鞋、雨衣、安全</w:t>
      </w:r>
      <w:r>
        <w:rPr>
          <w:rFonts w:hint="eastAsia"/>
          <w:color w:val="000000" w:themeColor="text1"/>
          <w14:textFill>
            <w14:solidFill>
              <w14:schemeClr w14:val="tx1"/>
            </w14:solidFill>
          </w14:textFill>
        </w:rPr>
        <w:t>帽</w:t>
      </w:r>
      <w:r>
        <w:rPr>
          <w:color w:val="000000" w:themeColor="text1"/>
          <w14:textFill>
            <w14:solidFill>
              <w14:schemeClr w14:val="tx1"/>
            </w14:solidFill>
          </w14:textFill>
        </w:rPr>
        <w:t>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装备维护保管：由后勤保障组维护保管。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（3）通讯装备</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通讯装备种类：移动电话和对讲机。</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维护保管：由后勤保障组保管，厂内固定电话由各事故小组保管。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（4）急救物资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急救物资种类：急救卫生箱（含相关药品、绷带等）、救护担架、车辆等。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维护保管：由后勤保障组保管，车辆厂办调配。</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（5）洗消应急物资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污染治理物资：硫化钠、活性炭粉末等。</w:t>
      </w:r>
    </w:p>
    <w:p>
      <w:pPr>
        <w:ind w:firstLine="560"/>
        <w:rPr>
          <w:rFonts w:cs="Times New Roman"/>
          <w:color w:val="000000" w:themeColor="text1"/>
          <w:szCs w:val="28"/>
          <w14:textFill>
            <w14:solidFill>
              <w14:schemeClr w14:val="tx1"/>
            </w14:solidFill>
          </w14:textFill>
        </w:rPr>
      </w:pPr>
      <w:r>
        <w:rPr>
          <w:color w:val="000000" w:themeColor="text1"/>
          <w14:textFill>
            <w14:solidFill>
              <w14:schemeClr w14:val="tx1"/>
            </w14:solidFill>
          </w14:textFill>
        </w:rPr>
        <w:t>维护保管：由后勤保障组保管，厂内仓库储存。</w:t>
      </w:r>
    </w:p>
    <w:p>
      <w:pPr>
        <w:pStyle w:val="18"/>
        <w:rPr>
          <w:color w:val="000000" w:themeColor="text1"/>
          <w14:textFill>
            <w14:solidFill>
              <w14:schemeClr w14:val="tx1"/>
            </w14:solidFill>
          </w14:textFill>
        </w:rPr>
      </w:pPr>
      <w:bookmarkStart w:id="331" w:name="_Toc15288"/>
      <w:bookmarkStart w:id="332" w:name="_Toc43143247"/>
      <w:bookmarkStart w:id="333" w:name="_Toc313018043"/>
      <w:bookmarkStart w:id="334" w:name="_Toc306199651"/>
      <w:bookmarkStart w:id="335" w:name="_Toc304533465"/>
      <w:bookmarkStart w:id="336" w:name="_Toc334883427"/>
      <w:bookmarkStart w:id="337" w:name="_Toc74623081"/>
      <w:bookmarkStart w:id="338" w:name="_Toc334884010"/>
      <w:bookmarkStart w:id="339" w:name="_Toc351989730"/>
      <w:bookmarkStart w:id="340" w:name="_Toc185216968"/>
      <w:r>
        <w:rPr>
          <w:color w:val="000000" w:themeColor="text1"/>
          <w14:textFill>
            <w14:solidFill>
              <w14:schemeClr w14:val="tx1"/>
            </w14:solidFill>
          </w14:textFill>
        </w:rPr>
        <w:t>11.4其他保障</w:t>
      </w:r>
      <w:bookmarkEnd w:id="331"/>
      <w:bookmarkEnd w:id="332"/>
    </w:p>
    <w:p>
      <w:pPr>
        <w:pStyle w:val="16"/>
        <w:rPr>
          <w:color w:val="000000" w:themeColor="text1"/>
          <w14:textFill>
            <w14:solidFill>
              <w14:schemeClr w14:val="tx1"/>
            </w14:solidFill>
          </w14:textFill>
        </w:rPr>
      </w:pPr>
      <w:bookmarkStart w:id="341" w:name="_Toc7612"/>
      <w:bookmarkStart w:id="342" w:name="_Toc43143248"/>
      <w:r>
        <w:rPr>
          <w:color w:val="000000" w:themeColor="text1"/>
          <w14:textFill>
            <w14:solidFill>
              <w14:schemeClr w14:val="tx1"/>
            </w14:solidFill>
          </w14:textFill>
        </w:rPr>
        <w:t>11.4.1通讯与信息保障</w:t>
      </w:r>
      <w:bookmarkEnd w:id="333"/>
      <w:bookmarkEnd w:id="334"/>
      <w:bookmarkEnd w:id="335"/>
      <w:bookmarkEnd w:id="336"/>
      <w:bookmarkEnd w:id="337"/>
      <w:bookmarkEnd w:id="338"/>
      <w:bookmarkEnd w:id="339"/>
      <w:bookmarkEnd w:id="341"/>
      <w:bookmarkEnd w:id="342"/>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设有应急值班电话，并向所有人员公布。公司对电话、对讲机、手机等通讯器材进行经常性维护或更新，确保本预案启动时各应急部门之间的联络通畅。</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公司建立昼夜值班制度，实行24小时值班，一旦发生事故，值班人员立即通知应急救援办公室。公司领导和值班人员手机保持24小时开机，参加应急救援处置的所有成员必须配备移动通讯工具，并处于开机状态，确保应急期间信息通畅。接到通知后，要立即赶赴指定地点。</w:t>
      </w:r>
    </w:p>
    <w:p>
      <w:pPr>
        <w:pStyle w:val="16"/>
        <w:rPr>
          <w:color w:val="000000" w:themeColor="text1"/>
          <w14:textFill>
            <w14:solidFill>
              <w14:schemeClr w14:val="tx1"/>
            </w14:solidFill>
          </w14:textFill>
        </w:rPr>
      </w:pPr>
      <w:bookmarkStart w:id="343" w:name="_Toc16337"/>
      <w:bookmarkStart w:id="344" w:name="_Toc28630"/>
      <w:bookmarkStart w:id="345" w:name="_Toc43143249"/>
      <w:r>
        <w:rPr>
          <w:color w:val="000000" w:themeColor="text1"/>
          <w14:textFill>
            <w14:solidFill>
              <w14:schemeClr w14:val="tx1"/>
            </w14:solidFill>
          </w14:textFill>
        </w:rPr>
        <w:t>11.4.2环境监测保障</w:t>
      </w:r>
      <w:bookmarkEnd w:id="343"/>
      <w:bookmarkEnd w:id="344"/>
      <w:bookmarkEnd w:id="345"/>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制定了相应的环境监测方案制度</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监测计划</w:t>
      </w:r>
      <w:r>
        <w:rPr>
          <w:rFonts w:hint="eastAsia"/>
          <w:color w:val="000000" w:themeColor="text1"/>
          <w14:textFill>
            <w14:solidFill>
              <w14:schemeClr w14:val="tx1"/>
            </w14:solidFill>
          </w14:textFill>
        </w:rPr>
        <w:t>，能够</w:t>
      </w:r>
      <w:r>
        <w:rPr>
          <w:color w:val="000000" w:themeColor="text1"/>
          <w14:textFill>
            <w14:solidFill>
              <w14:schemeClr w14:val="tx1"/>
            </w14:solidFill>
          </w14:textFill>
        </w:rPr>
        <w:t>对周围水环境进行监测，实时掌握尾矿库运行期间周围环境变化。</w:t>
      </w:r>
    </w:p>
    <w:p>
      <w:pPr>
        <w:pStyle w:val="16"/>
        <w:rPr>
          <w:color w:val="000000" w:themeColor="text1"/>
          <w14:textFill>
            <w14:solidFill>
              <w14:schemeClr w14:val="tx1"/>
            </w14:solidFill>
          </w14:textFill>
        </w:rPr>
      </w:pPr>
      <w:bookmarkStart w:id="346" w:name="_Toc18562"/>
      <w:bookmarkStart w:id="347" w:name="_Toc3662"/>
      <w:bookmarkStart w:id="348" w:name="_Toc43143250"/>
      <w:r>
        <w:rPr>
          <w:color w:val="000000" w:themeColor="text1"/>
          <w14:textFill>
            <w14:solidFill>
              <w14:schemeClr w14:val="tx1"/>
            </w14:solidFill>
          </w14:textFill>
        </w:rPr>
        <w:t>11.4.3救援装备保障</w:t>
      </w:r>
      <w:bookmarkEnd w:id="346"/>
      <w:bookmarkEnd w:id="347"/>
      <w:bookmarkEnd w:id="348"/>
    </w:p>
    <w:p>
      <w:pPr>
        <w:ind w:firstLine="560"/>
        <w:rPr>
          <w:color w:val="000000" w:themeColor="text1"/>
          <w14:textFill>
            <w14:solidFill>
              <w14:schemeClr w14:val="tx1"/>
            </w14:solidFill>
          </w14:textFill>
        </w:rPr>
      </w:pPr>
      <w:r>
        <w:rPr>
          <w:color w:val="000000" w:themeColor="text1"/>
          <w14:textFill>
            <w14:solidFill>
              <w14:schemeClr w14:val="tx1"/>
            </w14:solidFill>
          </w14:textFill>
        </w:rPr>
        <w:t>（1）各部门根据自身应急救援业务需求，采取平战结合的原则，配备现场救援与抢险的装备和器材，建立相应的维护、保养和调用制度，保障各种相关灾害事件的抢险和救援；</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（2）应急救援办公室应了解并建立与友邻单位、社会团体作好大型现场救援和工程抢险装备使用的协议，必要时应积极寻求友邻单位、社会团体的帮助。</w:t>
      </w:r>
    </w:p>
    <w:p>
      <w:pPr>
        <w:pStyle w:val="16"/>
        <w:rPr>
          <w:color w:val="000000" w:themeColor="text1"/>
          <w14:textFill>
            <w14:solidFill>
              <w14:schemeClr w14:val="tx1"/>
            </w14:solidFill>
          </w14:textFill>
        </w:rPr>
      </w:pPr>
      <w:bookmarkStart w:id="349" w:name="_Toc27455"/>
      <w:bookmarkStart w:id="350" w:name="_Toc43143251"/>
      <w:bookmarkStart w:id="351" w:name="_Toc12086"/>
      <w:r>
        <w:rPr>
          <w:color w:val="000000" w:themeColor="text1"/>
          <w14:textFill>
            <w14:solidFill>
              <w14:schemeClr w14:val="tx1"/>
            </w14:solidFill>
          </w14:textFill>
        </w:rPr>
        <w:t>11.4.4交通运输保障</w:t>
      </w:r>
      <w:bookmarkEnd w:id="349"/>
      <w:bookmarkEnd w:id="350"/>
      <w:bookmarkEnd w:id="351"/>
    </w:p>
    <w:p>
      <w:pPr>
        <w:ind w:firstLine="560"/>
        <w:rPr>
          <w:color w:val="000000" w:themeColor="text1"/>
          <w14:textFill>
            <w14:solidFill>
              <w14:schemeClr w14:val="tx1"/>
            </w14:solidFill>
          </w14:textFill>
        </w:rPr>
      </w:pPr>
      <w:r>
        <w:rPr>
          <w:color w:val="000000" w:themeColor="text1"/>
          <w14:textFill>
            <w14:solidFill>
              <w14:schemeClr w14:val="tx1"/>
            </w14:solidFill>
          </w14:textFill>
        </w:rPr>
        <w:t>（1）为保证应急抢险工作的顺利实施，公司应随时配备足够数量的渗滤液泄漏应急物资、交通车辆、工程车辆等交通工具；</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后勤</w:t>
      </w:r>
      <w:r>
        <w:rPr>
          <w:color w:val="000000" w:themeColor="text1"/>
          <w14:textFill>
            <w14:solidFill>
              <w14:schemeClr w14:val="tx1"/>
            </w14:solidFill>
          </w14:textFill>
        </w:rPr>
        <w:t>保障组负责应急抢险工作时的道路畅通和警戒，以保证应急物资能迅速到达事故现场，伤病人员须外送时能及时送往指定医院。</w:t>
      </w:r>
    </w:p>
    <w:p>
      <w:pPr>
        <w:pStyle w:val="16"/>
        <w:rPr>
          <w:color w:val="000000" w:themeColor="text1"/>
          <w14:textFill>
            <w14:solidFill>
              <w14:schemeClr w14:val="tx1"/>
            </w14:solidFill>
          </w14:textFill>
        </w:rPr>
      </w:pPr>
      <w:bookmarkStart w:id="352" w:name="_Toc28601"/>
      <w:bookmarkStart w:id="353" w:name="_Toc19"/>
      <w:bookmarkStart w:id="354" w:name="_Toc43143252"/>
      <w:r>
        <w:rPr>
          <w:color w:val="000000" w:themeColor="text1"/>
          <w14:textFill>
            <w14:solidFill>
              <w14:schemeClr w14:val="tx1"/>
            </w14:solidFill>
          </w14:textFill>
        </w:rPr>
        <w:t>11.4.5救援医疗保障</w:t>
      </w:r>
      <w:bookmarkEnd w:id="352"/>
      <w:bookmarkEnd w:id="353"/>
      <w:bookmarkEnd w:id="354"/>
    </w:p>
    <w:p>
      <w:pPr>
        <w:ind w:firstLine="560"/>
        <w:rPr>
          <w:color w:val="000000" w:themeColor="text1"/>
          <w14:textFill>
            <w14:solidFill>
              <w14:schemeClr w14:val="tx1"/>
            </w14:solidFill>
          </w14:textFill>
        </w:rPr>
      </w:pPr>
      <w:r>
        <w:rPr>
          <w:color w:val="000000" w:themeColor="text1"/>
          <w14:textFill>
            <w14:solidFill>
              <w14:schemeClr w14:val="tx1"/>
            </w14:solidFill>
          </w14:textFill>
        </w:rPr>
        <w:t>（1）为提高企业应对环保安全事故的应急救治能力，</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与周边医院签订应急医疗救护保障协议；</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（2）库区应准备必要的医疗救护设施、药品等。</w:t>
      </w:r>
    </w:p>
    <w:p>
      <w:pPr>
        <w:pStyle w:val="16"/>
        <w:rPr>
          <w:color w:val="000000" w:themeColor="text1"/>
          <w14:textFill>
            <w14:solidFill>
              <w14:schemeClr w14:val="tx1"/>
            </w14:solidFill>
          </w14:textFill>
        </w:rPr>
      </w:pPr>
      <w:bookmarkStart w:id="355" w:name="_Toc873"/>
      <w:bookmarkStart w:id="356" w:name="_Toc10415"/>
      <w:bookmarkStart w:id="357" w:name="_Toc43143253"/>
      <w:r>
        <w:rPr>
          <w:color w:val="000000" w:themeColor="text1"/>
          <w14:textFill>
            <w14:solidFill>
              <w14:schemeClr w14:val="tx1"/>
            </w14:solidFill>
          </w14:textFill>
        </w:rPr>
        <w:t>11.4.6治安保障</w:t>
      </w:r>
      <w:bookmarkEnd w:id="355"/>
      <w:bookmarkEnd w:id="356"/>
      <w:bookmarkEnd w:id="357"/>
    </w:p>
    <w:p>
      <w:pPr>
        <w:ind w:firstLine="560"/>
        <w:rPr>
          <w:color w:val="000000" w:themeColor="text1"/>
          <w14:textFill>
            <w14:solidFill>
              <w14:schemeClr w14:val="tx1"/>
            </w14:solidFill>
          </w14:textFill>
        </w:rPr>
      </w:pPr>
      <w:r>
        <w:rPr>
          <w:color w:val="000000" w:themeColor="text1"/>
          <w14:textFill>
            <w14:solidFill>
              <w14:schemeClr w14:val="tx1"/>
            </w14:solidFill>
          </w14:textFill>
        </w:rPr>
        <w:t>（1）事故发生后，由</w:t>
      </w:r>
      <w:r>
        <w:rPr>
          <w:rFonts w:hint="eastAsia"/>
          <w:color w:val="000000" w:themeColor="text1"/>
          <w14:textFill>
            <w14:solidFill>
              <w14:schemeClr w14:val="tx1"/>
            </w14:solidFill>
          </w14:textFill>
        </w:rPr>
        <w:t>现场</w:t>
      </w:r>
      <w:r>
        <w:rPr>
          <w:color w:val="000000" w:themeColor="text1"/>
          <w14:textFill>
            <w14:solidFill>
              <w14:schemeClr w14:val="tx1"/>
            </w14:solidFill>
          </w14:textFill>
        </w:rPr>
        <w:t>保卫组负责治安保障，立即在事故现场周围设立警戒区和警戒哨，做好现场控制、交通管制、疏散救助群众、维护公共秩序等工作。</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（2）由</w:t>
      </w:r>
      <w:r>
        <w:rPr>
          <w:rFonts w:hint="eastAsia"/>
          <w:color w:val="000000" w:themeColor="text1"/>
          <w14:textFill>
            <w14:solidFill>
              <w14:schemeClr w14:val="tx1"/>
            </w14:solidFill>
          </w14:textFill>
        </w:rPr>
        <w:t>现场</w:t>
      </w:r>
      <w:r>
        <w:rPr>
          <w:color w:val="000000" w:themeColor="text1"/>
          <w14:textFill>
            <w14:solidFill>
              <w14:schemeClr w14:val="tx1"/>
            </w14:solidFill>
          </w14:textFill>
        </w:rPr>
        <w:t>保卫组负责，承担对重要场所、目标和救灾设施的警卫。</w:t>
      </w:r>
    </w:p>
    <w:bookmarkEnd w:id="340"/>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r>
        <w:rPr>
          <w:rFonts w:ascii="Times New Roman" w:eastAsia="楷体_GB2312" w:cs="Times New Roman"/>
          <w:bCs/>
          <w:color w:val="000000" w:themeColor="text1"/>
          <w:sz w:val="44"/>
          <w:szCs w:val="44"/>
          <w14:textFill>
            <w14:solidFill>
              <w14:schemeClr w14:val="tx1"/>
            </w14:solidFill>
          </w14:textFill>
        </w:rPr>
        <w:br w:type="page"/>
      </w:r>
      <w:bookmarkStart w:id="358" w:name="_Toc28522"/>
      <w:bookmarkStart w:id="359" w:name="_Toc43143254"/>
      <w:r>
        <w:rPr>
          <w:rFonts w:ascii="Times New Roman" w:eastAsia="楷体_GB2312" w:cs="Times New Roman"/>
          <w:bCs/>
          <w:color w:val="000000" w:themeColor="text1"/>
          <w:szCs w:val="32"/>
          <w14:textFill>
            <w14:solidFill>
              <w14:schemeClr w14:val="tx1"/>
            </w14:solidFill>
          </w14:textFill>
        </w:rPr>
        <w:t>12预案的评审、备案、发布和更新</w:t>
      </w:r>
      <w:bookmarkEnd w:id="358"/>
      <w:bookmarkEnd w:id="359"/>
    </w:p>
    <w:p>
      <w:pPr>
        <w:pStyle w:val="18"/>
        <w:rPr>
          <w:color w:val="000000" w:themeColor="text1"/>
          <w14:textFill>
            <w14:solidFill>
              <w14:schemeClr w14:val="tx1"/>
            </w14:solidFill>
          </w14:textFill>
        </w:rPr>
      </w:pPr>
      <w:bookmarkStart w:id="360" w:name="_Toc468620729"/>
      <w:bookmarkStart w:id="361" w:name="_Toc22053694"/>
      <w:bookmarkStart w:id="362" w:name="_Toc43143255"/>
      <w:bookmarkStart w:id="363" w:name="_Toc721"/>
      <w:bookmarkStart w:id="364" w:name="_Toc22246"/>
      <w:bookmarkStart w:id="365" w:name="_Toc486862617"/>
      <w:bookmarkStart w:id="366" w:name="_Toc17467884"/>
      <w:bookmarkStart w:id="367" w:name="_Toc28880"/>
      <w:bookmarkStart w:id="368" w:name="_Toc486955418"/>
      <w:bookmarkStart w:id="369" w:name="_Toc23682"/>
      <w:r>
        <w:rPr>
          <w:color w:val="000000" w:themeColor="text1"/>
          <w14:textFill>
            <w14:solidFill>
              <w14:schemeClr w14:val="tx1"/>
            </w14:solidFill>
          </w14:textFill>
        </w:rPr>
        <w:t>12.1预案的评审</w:t>
      </w:r>
      <w:bookmarkEnd w:id="360"/>
      <w:bookmarkEnd w:id="361"/>
      <w:bookmarkEnd w:id="362"/>
      <w:bookmarkEnd w:id="363"/>
      <w:bookmarkEnd w:id="364"/>
      <w:bookmarkEnd w:id="365"/>
      <w:bookmarkEnd w:id="366"/>
      <w:bookmarkEnd w:id="367"/>
      <w:bookmarkEnd w:id="368"/>
      <w:bookmarkEnd w:id="369"/>
    </w:p>
    <w:p>
      <w:pPr>
        <w:ind w:firstLine="560"/>
        <w:rPr>
          <w:color w:val="000000" w:themeColor="text1"/>
          <w14:textFill>
            <w14:solidFill>
              <w14:schemeClr w14:val="tx1"/>
            </w14:solidFill>
          </w14:textFill>
        </w:rPr>
      </w:pPr>
      <w:r>
        <w:rPr>
          <w:color w:val="000000" w:themeColor="text1"/>
          <w14:textFill>
            <w14:solidFill>
              <w14:schemeClr w14:val="tx1"/>
            </w14:solidFill>
          </w14:textFill>
        </w:rPr>
        <w:t>本预案自编制完成后，进行评审，评审邀请相关企事业单位、专家等进行评审。</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评审时应注意如下问题：</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尾矿库的突发环境事件专项应急预案是否得到各部门的充分的重视；各管理部门和响应人员是否理解各自的职责；</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尾矿库的风险有无变化；应急预案是否根据</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尾矿库的布局和运行变化而更新；员工是否经过培训；预案中的联系方式是否正确；是否将应急管理融入企业的整体管理中等。</w:t>
      </w:r>
    </w:p>
    <w:p>
      <w:pPr>
        <w:pStyle w:val="18"/>
        <w:rPr>
          <w:color w:val="000000" w:themeColor="text1"/>
          <w14:textFill>
            <w14:solidFill>
              <w14:schemeClr w14:val="tx1"/>
            </w14:solidFill>
          </w14:textFill>
        </w:rPr>
      </w:pPr>
      <w:bookmarkStart w:id="370" w:name="_Toc23788"/>
      <w:bookmarkStart w:id="371" w:name="_Toc17467885"/>
      <w:bookmarkStart w:id="372" w:name="_Toc31718"/>
      <w:bookmarkStart w:id="373" w:name="_Toc7019"/>
      <w:bookmarkStart w:id="374" w:name="_Toc43143256"/>
      <w:bookmarkStart w:id="375" w:name="_Toc486955419"/>
      <w:bookmarkStart w:id="376" w:name="_Toc468620730"/>
      <w:bookmarkStart w:id="377" w:name="_Toc486862618"/>
      <w:bookmarkStart w:id="378" w:name="_Toc17770"/>
      <w:bookmarkStart w:id="379" w:name="_Toc22053695"/>
      <w:r>
        <w:rPr>
          <w:color w:val="000000" w:themeColor="text1"/>
          <w14:textFill>
            <w14:solidFill>
              <w14:schemeClr w14:val="tx1"/>
            </w14:solidFill>
          </w14:textFill>
        </w:rPr>
        <w:t>12.2预案的备案</w:t>
      </w:r>
      <w:bookmarkEnd w:id="370"/>
      <w:bookmarkEnd w:id="371"/>
      <w:bookmarkEnd w:id="372"/>
      <w:bookmarkEnd w:id="373"/>
      <w:bookmarkEnd w:id="374"/>
      <w:bookmarkEnd w:id="375"/>
      <w:bookmarkEnd w:id="376"/>
      <w:bookmarkEnd w:id="377"/>
      <w:bookmarkEnd w:id="378"/>
      <w:bookmarkEnd w:id="379"/>
    </w:p>
    <w:p>
      <w:pPr>
        <w:ind w:firstLine="560"/>
        <w:rPr>
          <w:color w:val="000000" w:themeColor="text1"/>
          <w14:textFill>
            <w14:solidFill>
              <w14:schemeClr w14:val="tx1"/>
            </w14:solidFill>
          </w14:textFill>
        </w:rPr>
      </w:pPr>
      <w:r>
        <w:rPr>
          <w:color w:val="000000" w:themeColor="text1"/>
          <w14:textFill>
            <w14:solidFill>
              <w14:schemeClr w14:val="tx1"/>
            </w14:solidFill>
          </w14:textFill>
        </w:rPr>
        <w:t>根据《中华人民共和国环境保护法》（2015），企业事业单位应当按照国家有关规定制定突发环境事件应急预案，报环境保护主管部门和有关部门备案。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评审通过后，经修改完善后经应急负责人签署发布实施，并报</w:t>
      </w:r>
      <w:r>
        <w:rPr>
          <w:rFonts w:hint="eastAsia"/>
          <w:color w:val="000000" w:themeColor="text1"/>
          <w14:textFill>
            <w14:solidFill>
              <w14:schemeClr w14:val="tx1"/>
            </w14:solidFill>
          </w14:textFill>
        </w:rPr>
        <w:t>景洪市勐龙镇</w:t>
      </w:r>
      <w:r>
        <w:rPr>
          <w:color w:val="000000" w:themeColor="text1"/>
          <w14:textFill>
            <w14:solidFill>
              <w14:schemeClr w14:val="tx1"/>
            </w14:solidFill>
          </w14:textFill>
        </w:rPr>
        <w:t>人民政府、</w:t>
      </w:r>
      <w:r>
        <w:rPr>
          <w:rFonts w:hint="eastAsia"/>
          <w:color w:val="000000" w:themeColor="text1"/>
          <w14:textFill>
            <w14:solidFill>
              <w14:schemeClr w14:val="tx1"/>
            </w14:solidFill>
          </w14:textFill>
        </w:rPr>
        <w:t>西双版纳州生态环境局景洪分局</w:t>
      </w:r>
      <w:r>
        <w:rPr>
          <w:color w:val="000000" w:themeColor="text1"/>
          <w14:textFill>
            <w14:solidFill>
              <w14:schemeClr w14:val="tx1"/>
            </w14:solidFill>
          </w14:textFill>
        </w:rPr>
        <w:t>备案。</w:t>
      </w:r>
    </w:p>
    <w:p>
      <w:pPr>
        <w:pStyle w:val="18"/>
        <w:rPr>
          <w:color w:val="000000" w:themeColor="text1"/>
          <w14:textFill>
            <w14:solidFill>
              <w14:schemeClr w14:val="tx1"/>
            </w14:solidFill>
          </w14:textFill>
        </w:rPr>
      </w:pPr>
      <w:bookmarkStart w:id="380" w:name="_Toc8378"/>
      <w:bookmarkStart w:id="381" w:name="_Toc43143257"/>
      <w:bookmarkStart w:id="382" w:name="_Toc468620731"/>
      <w:bookmarkStart w:id="383" w:name="_Toc486955420"/>
      <w:bookmarkStart w:id="384" w:name="_Toc32459"/>
      <w:bookmarkStart w:id="385" w:name="_Toc10684"/>
      <w:bookmarkStart w:id="386" w:name="_Toc17467886"/>
      <w:bookmarkStart w:id="387" w:name="_Toc486862619"/>
      <w:bookmarkStart w:id="388" w:name="_Toc11109"/>
      <w:bookmarkStart w:id="389" w:name="_Toc22053696"/>
      <w:r>
        <w:rPr>
          <w:color w:val="000000" w:themeColor="text1"/>
          <w14:textFill>
            <w14:solidFill>
              <w14:schemeClr w14:val="tx1"/>
            </w14:solidFill>
          </w14:textFill>
        </w:rPr>
        <w:t>12.3预案的发布</w:t>
      </w:r>
      <w:bookmarkEnd w:id="380"/>
      <w:bookmarkEnd w:id="381"/>
      <w:bookmarkEnd w:id="382"/>
      <w:bookmarkEnd w:id="383"/>
      <w:bookmarkEnd w:id="384"/>
      <w:bookmarkEnd w:id="385"/>
      <w:bookmarkEnd w:id="386"/>
      <w:bookmarkEnd w:id="387"/>
      <w:bookmarkEnd w:id="388"/>
      <w:bookmarkEnd w:id="389"/>
    </w:p>
    <w:p>
      <w:pPr>
        <w:ind w:firstLine="560"/>
        <w:rPr>
          <w:color w:val="000000" w:themeColor="text1"/>
          <w14:textFill>
            <w14:solidFill>
              <w14:schemeClr w14:val="tx1"/>
            </w14:solidFill>
          </w14:textFill>
        </w:rPr>
      </w:pPr>
      <w:r>
        <w:rPr>
          <w:color w:val="000000" w:themeColor="text1"/>
          <w14:textFill>
            <w14:solidFill>
              <w14:schemeClr w14:val="tx1"/>
            </w14:solidFill>
          </w14:textFill>
        </w:rPr>
        <w:t>评审通过后，经修改完善后应急负责人签署发布实施。</w:t>
      </w:r>
    </w:p>
    <w:p>
      <w:pPr>
        <w:pStyle w:val="18"/>
        <w:rPr>
          <w:color w:val="000000" w:themeColor="text1"/>
          <w14:textFill>
            <w14:solidFill>
              <w14:schemeClr w14:val="tx1"/>
            </w14:solidFill>
          </w14:textFill>
        </w:rPr>
      </w:pPr>
      <w:bookmarkStart w:id="390" w:name="_Toc17467887"/>
      <w:bookmarkStart w:id="391" w:name="_Toc468620732"/>
      <w:bookmarkStart w:id="392" w:name="_Toc22053697"/>
      <w:bookmarkStart w:id="393" w:name="_Toc43143258"/>
      <w:bookmarkStart w:id="394" w:name="_Toc486862620"/>
      <w:bookmarkStart w:id="395" w:name="_Toc32342"/>
      <w:bookmarkStart w:id="396" w:name="_Toc486955421"/>
      <w:bookmarkStart w:id="397" w:name="_Toc17457"/>
      <w:bookmarkStart w:id="398" w:name="_Toc15943"/>
      <w:bookmarkStart w:id="399" w:name="_Toc3329"/>
      <w:r>
        <w:rPr>
          <w:color w:val="000000" w:themeColor="text1"/>
          <w14:textFill>
            <w14:solidFill>
              <w14:schemeClr w14:val="tx1"/>
            </w14:solidFill>
          </w14:textFill>
        </w:rPr>
        <w:t>12.4预案的更新</w:t>
      </w:r>
      <w:bookmarkEnd w:id="390"/>
      <w:bookmarkEnd w:id="391"/>
      <w:bookmarkEnd w:id="392"/>
      <w:bookmarkEnd w:id="393"/>
      <w:bookmarkEnd w:id="394"/>
      <w:bookmarkEnd w:id="395"/>
      <w:bookmarkEnd w:id="396"/>
      <w:bookmarkEnd w:id="397"/>
      <w:bookmarkEnd w:id="398"/>
      <w:bookmarkEnd w:id="399"/>
    </w:p>
    <w:p>
      <w:pPr>
        <w:ind w:firstLine="560"/>
        <w:rPr>
          <w:color w:val="000000" w:themeColor="text1"/>
          <w14:textFill>
            <w14:solidFill>
              <w14:schemeClr w14:val="tx1"/>
            </w14:solidFill>
          </w14:textFill>
        </w:rPr>
      </w:pPr>
      <w:r>
        <w:rPr>
          <w:color w:val="000000" w:themeColor="text1"/>
          <w14:textFill>
            <w14:solidFill>
              <w14:schemeClr w14:val="tx1"/>
            </w14:solidFill>
          </w14:textFill>
        </w:rPr>
        <w:t>原则为每三年更新一次，随着应急救援相关法律法规的制定、修改和完善，部门职责或应急资源发生变化，应急过程中发现存在的问题和出现新的情况，或者在演练时发现防护器具、救援设施等方面可能存在的问题，应由救援指挥部按照《企业事业单位突发环境事件应急预案管理暂行办法（试行）》（环发〔2015〕4号）文及时组织修订完善预案。遇有下列情况出现时，应及时更新，并进行评审备案：</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（1）法律法规和其他要求发生重大变化，市场发生重大变化；</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尾矿库环境风险源、周边敏感性目标、控制机制可靠性等指标发生重大变化；</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云南安宁泰源工贸集团有限公司景洪分公司</w:t>
      </w:r>
      <w:r>
        <w:rPr>
          <w:color w:val="000000" w:themeColor="text1"/>
          <w14:textFill>
            <w14:solidFill>
              <w14:schemeClr w14:val="tx1"/>
            </w14:solidFill>
          </w14:textFill>
        </w:rPr>
        <w:t>尾矿库环境安全隐患排查过程中发现重大环境安全隐患的；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（4）企业相关部门和人员、应急组织机构或者职责</w:t>
      </w:r>
      <w:r>
        <w:rPr>
          <w:rFonts w:hint="eastAsia"/>
          <w:color w:val="000000" w:themeColor="text1"/>
          <w:lang w:val="en-US" w:eastAsia="zh-CN"/>
          <w14:textFill>
            <w14:solidFill>
              <w14:schemeClr w14:val="tx1"/>
            </w14:solidFill>
          </w14:textFill>
        </w:rPr>
        <w:t>做出</w:t>
      </w:r>
      <w:r>
        <w:rPr>
          <w:color w:val="000000" w:themeColor="text1"/>
          <w14:textFill>
            <w14:solidFill>
              <w14:schemeClr w14:val="tx1"/>
            </w14:solidFill>
          </w14:textFill>
        </w:rPr>
        <w:t>重大调整的；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（4）预警监测和发布机制、响应流程和处置措施、应急保障措施等发生重大变化的；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（5）重要应急资源发生重大变化的；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（6）在应急演练或预案执行中发现需要</w:t>
      </w:r>
      <w:r>
        <w:rPr>
          <w:rFonts w:hint="eastAsia"/>
          <w:color w:val="000000" w:themeColor="text1"/>
          <w:lang w:val="en-US" w:eastAsia="zh-CN"/>
          <w14:textFill>
            <w14:solidFill>
              <w14:schemeClr w14:val="tx1"/>
            </w14:solidFill>
          </w14:textFill>
        </w:rPr>
        <w:t>做出</w:t>
      </w:r>
      <w:r>
        <w:rPr>
          <w:color w:val="000000" w:themeColor="text1"/>
          <w14:textFill>
            <w14:solidFill>
              <w14:schemeClr w14:val="tx1"/>
            </w14:solidFill>
          </w14:textFill>
        </w:rPr>
        <w:t>重大调整的；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（7）存在应当修订的其他情形。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预案评审完成由公司主要负责人签发，并在公司内发布实施，同时报送</w:t>
      </w:r>
      <w:r>
        <w:rPr>
          <w:rFonts w:hint="eastAsia"/>
          <w:color w:val="000000" w:themeColor="text1"/>
          <w14:textFill>
            <w14:solidFill>
              <w14:schemeClr w14:val="tx1"/>
            </w14:solidFill>
          </w14:textFill>
        </w:rPr>
        <w:t>勐龙镇</w:t>
      </w:r>
      <w:r>
        <w:rPr>
          <w:color w:val="000000" w:themeColor="text1"/>
          <w14:textFill>
            <w14:solidFill>
              <w14:schemeClr w14:val="tx1"/>
            </w14:solidFill>
          </w14:textFill>
        </w:rPr>
        <w:t>人民政府及</w:t>
      </w:r>
      <w:r>
        <w:rPr>
          <w:rFonts w:hint="eastAsia"/>
          <w:color w:val="000000" w:themeColor="text1"/>
          <w14:textFill>
            <w14:solidFill>
              <w14:schemeClr w14:val="tx1"/>
            </w14:solidFill>
          </w14:textFill>
        </w:rPr>
        <w:t>西双版纳州生态环境局景洪分局</w:t>
      </w:r>
      <w:r>
        <w:rPr>
          <w:color w:val="000000" w:themeColor="text1"/>
          <w14:textFill>
            <w14:solidFill>
              <w14:schemeClr w14:val="tx1"/>
            </w14:solidFill>
          </w14:textFill>
        </w:rPr>
        <w:t>备案。</w:t>
      </w:r>
    </w:p>
    <w:p>
      <w:pPr>
        <w:pStyle w:val="30"/>
        <w:ind w:left="560" w:firstLine="560"/>
        <w:rPr>
          <w:color w:val="000000" w:themeColor="text1"/>
          <w14:textFill>
            <w14:solidFill>
              <w14:schemeClr w14:val="tx1"/>
            </w14:solidFill>
          </w14:textFill>
        </w:rPr>
      </w:pPr>
    </w:p>
    <w:p>
      <w:pPr>
        <w:ind w:firstLine="560"/>
        <w:rPr>
          <w:color w:val="000000" w:themeColor="text1"/>
          <w14:textFill>
            <w14:solidFill>
              <w14:schemeClr w14:val="tx1"/>
            </w14:solidFill>
          </w14:textFill>
        </w:rPr>
      </w:pPr>
    </w:p>
    <w:p>
      <w:pPr>
        <w:pStyle w:val="17"/>
        <w:rPr>
          <w:color w:val="000000" w:themeColor="text1"/>
          <w14:textFill>
            <w14:solidFill>
              <w14:schemeClr w14:val="tx1"/>
            </w14:solidFill>
          </w14:textFill>
        </w:rPr>
      </w:pPr>
      <w:bookmarkStart w:id="400" w:name="_Toc43143259"/>
      <w:bookmarkStart w:id="401" w:name="_Toc31653"/>
      <w:r>
        <w:rPr>
          <w:color w:val="000000" w:themeColor="text1"/>
          <w14:textFill>
            <w14:solidFill>
              <w14:schemeClr w14:val="tx1"/>
            </w14:solidFill>
          </w14:textFill>
        </w:rPr>
        <w:t>13预案的实施和生效时间</w:t>
      </w:r>
      <w:bookmarkEnd w:id="400"/>
      <w:bookmarkEnd w:id="401"/>
    </w:p>
    <w:p>
      <w:pPr>
        <w:pStyle w:val="18"/>
        <w:rPr>
          <w:color w:val="000000" w:themeColor="text1"/>
          <w14:textFill>
            <w14:solidFill>
              <w14:schemeClr w14:val="tx1"/>
            </w14:solidFill>
          </w14:textFill>
        </w:rPr>
      </w:pPr>
      <w:bookmarkStart w:id="402" w:name="_Toc486862622"/>
      <w:bookmarkStart w:id="403" w:name="_Toc486955423"/>
      <w:bookmarkStart w:id="404" w:name="_Toc10414"/>
      <w:bookmarkStart w:id="405" w:name="_Toc29094"/>
      <w:bookmarkStart w:id="406" w:name="_Toc468620734"/>
      <w:bookmarkStart w:id="407" w:name="_Toc19587"/>
      <w:bookmarkStart w:id="408" w:name="_Toc43143260"/>
      <w:bookmarkStart w:id="409" w:name="_Toc22053699"/>
      <w:bookmarkStart w:id="410" w:name="_Toc17467889"/>
      <w:bookmarkStart w:id="411" w:name="_Toc24622"/>
      <w:r>
        <w:rPr>
          <w:color w:val="000000" w:themeColor="text1"/>
          <w14:textFill>
            <w14:solidFill>
              <w14:schemeClr w14:val="tx1"/>
            </w14:solidFill>
          </w14:textFill>
        </w:rPr>
        <w:t>13.1预案的管理与更新</w:t>
      </w:r>
      <w:bookmarkEnd w:id="402"/>
      <w:bookmarkEnd w:id="403"/>
      <w:bookmarkEnd w:id="404"/>
      <w:bookmarkEnd w:id="405"/>
      <w:bookmarkEnd w:id="406"/>
      <w:bookmarkEnd w:id="407"/>
      <w:bookmarkEnd w:id="408"/>
      <w:bookmarkEnd w:id="409"/>
      <w:bookmarkEnd w:id="410"/>
      <w:bookmarkEnd w:id="411"/>
    </w:p>
    <w:p>
      <w:pPr>
        <w:ind w:firstLine="560"/>
        <w:rPr>
          <w:color w:val="000000" w:themeColor="text1"/>
          <w14:textFill>
            <w14:solidFill>
              <w14:schemeClr w14:val="tx1"/>
            </w14:solidFill>
          </w14:textFill>
        </w:rPr>
      </w:pPr>
      <w:r>
        <w:rPr>
          <w:color w:val="000000" w:themeColor="text1"/>
          <w14:textFill>
            <w14:solidFill>
              <w14:schemeClr w14:val="tx1"/>
            </w14:solidFill>
          </w14:textFill>
        </w:rPr>
        <w:t>随着应急救援相关法律法规的制定、修改和完善，部门职责或应急资源发生变化，或者应急过程中发现存在的问题和出现新的情况，应及时修订完善本预案。按照《企业事业单位突发环境事件应急预案管理暂行办法（试行）》（环发〔2015〕4号）文，当出现下列情形时，预案需要修订：</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（1）周围环境或者环境敏感点发生变化，形成新的重大危险源的；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（2）应急组织指挥体系或者职责已经调整的；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（3）依据的法律、法规、规章和标准发生变化的；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（4）应急预案演练评估报告要求修订的；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（5）应急预案管理部门要求修订的；</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（6）应急演练和应急过程中发现存在的问题和出现的新情况；</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（7）环境应急预案依据的法律、法规、规章等发生变化。</w:t>
      </w:r>
    </w:p>
    <w:p>
      <w:pPr>
        <w:pStyle w:val="18"/>
        <w:rPr>
          <w:color w:val="000000" w:themeColor="text1"/>
          <w14:textFill>
            <w14:solidFill>
              <w14:schemeClr w14:val="tx1"/>
            </w14:solidFill>
          </w14:textFill>
        </w:rPr>
      </w:pPr>
      <w:bookmarkStart w:id="412" w:name="_Toc22053700"/>
      <w:bookmarkStart w:id="413" w:name="_Toc29607"/>
      <w:bookmarkStart w:id="414" w:name="_Toc43143261"/>
      <w:bookmarkStart w:id="415" w:name="_Toc468620735"/>
      <w:bookmarkStart w:id="416" w:name="_Toc486862623"/>
      <w:bookmarkStart w:id="417" w:name="_Toc15512"/>
      <w:bookmarkStart w:id="418" w:name="_Toc486955424"/>
      <w:bookmarkStart w:id="419" w:name="_Toc9271"/>
      <w:bookmarkStart w:id="420" w:name="_Toc8594"/>
      <w:bookmarkStart w:id="421" w:name="_Toc17467890"/>
      <w:r>
        <w:rPr>
          <w:color w:val="000000" w:themeColor="text1"/>
          <w14:textFill>
            <w14:solidFill>
              <w14:schemeClr w14:val="tx1"/>
            </w14:solidFill>
          </w14:textFill>
        </w:rPr>
        <w:t>13.2预案解释部门</w:t>
      </w:r>
      <w:bookmarkEnd w:id="412"/>
      <w:bookmarkEnd w:id="413"/>
      <w:bookmarkEnd w:id="414"/>
      <w:bookmarkEnd w:id="415"/>
      <w:bookmarkEnd w:id="416"/>
      <w:bookmarkEnd w:id="417"/>
      <w:bookmarkEnd w:id="418"/>
      <w:bookmarkEnd w:id="419"/>
      <w:bookmarkEnd w:id="420"/>
      <w:bookmarkEnd w:id="421"/>
    </w:p>
    <w:p>
      <w:pPr>
        <w:ind w:firstLine="560"/>
        <w:rPr>
          <w:color w:val="000000" w:themeColor="text1"/>
          <w14:textFill>
            <w14:solidFill>
              <w14:schemeClr w14:val="tx1"/>
            </w14:solidFill>
          </w14:textFill>
        </w:rPr>
      </w:pPr>
      <w:r>
        <w:rPr>
          <w:color w:val="000000" w:themeColor="text1"/>
          <w14:textFill>
            <w14:solidFill>
              <w14:schemeClr w14:val="tx1"/>
            </w14:solidFill>
          </w14:textFill>
        </w:rPr>
        <w:t>本预案经应急负责人签发后批准后实施，由应急指挥部办公室印发，应急办公室负责解释。</w:t>
      </w:r>
    </w:p>
    <w:p>
      <w:pPr>
        <w:pStyle w:val="18"/>
        <w:rPr>
          <w:color w:val="000000" w:themeColor="text1"/>
          <w14:textFill>
            <w14:solidFill>
              <w14:schemeClr w14:val="tx1"/>
            </w14:solidFill>
          </w14:textFill>
        </w:rPr>
      </w:pPr>
      <w:bookmarkStart w:id="422" w:name="_Toc486862624"/>
      <w:bookmarkStart w:id="423" w:name="_Toc28941"/>
      <w:bookmarkStart w:id="424" w:name="_Toc12344"/>
      <w:bookmarkStart w:id="425" w:name="_Toc486955425"/>
      <w:bookmarkStart w:id="426" w:name="_Toc29609"/>
      <w:bookmarkStart w:id="427" w:name="_Toc22053701"/>
      <w:bookmarkStart w:id="428" w:name="_Toc468620736"/>
      <w:bookmarkStart w:id="429" w:name="_Toc17467891"/>
      <w:bookmarkStart w:id="430" w:name="_Toc43143262"/>
      <w:bookmarkStart w:id="431" w:name="_Toc12622"/>
      <w:r>
        <w:rPr>
          <w:color w:val="000000" w:themeColor="text1"/>
          <w14:textFill>
            <w14:solidFill>
              <w14:schemeClr w14:val="tx1"/>
            </w14:solidFill>
          </w14:textFill>
        </w:rPr>
        <w:t>13.3预案的实施和生效时间</w:t>
      </w:r>
      <w:bookmarkEnd w:id="422"/>
      <w:bookmarkEnd w:id="423"/>
      <w:bookmarkEnd w:id="424"/>
      <w:bookmarkEnd w:id="425"/>
      <w:bookmarkEnd w:id="426"/>
      <w:bookmarkEnd w:id="427"/>
      <w:bookmarkEnd w:id="428"/>
      <w:bookmarkEnd w:id="429"/>
      <w:bookmarkEnd w:id="430"/>
      <w:bookmarkEnd w:id="431"/>
    </w:p>
    <w:p>
      <w:pPr>
        <w:ind w:firstLine="560"/>
        <w:rPr>
          <w:color w:val="000000" w:themeColor="text1"/>
          <w14:textFill>
            <w14:solidFill>
              <w14:schemeClr w14:val="tx1"/>
            </w14:solidFill>
          </w14:textFill>
        </w:rPr>
      </w:pPr>
      <w:r>
        <w:rPr>
          <w:color w:val="000000" w:themeColor="text1"/>
          <w14:textFill>
            <w14:solidFill>
              <w14:schemeClr w14:val="tx1"/>
            </w14:solidFill>
          </w14:textFill>
        </w:rPr>
        <w:t>备案批复之日起开始启用，并实施。</w:t>
      </w:r>
    </w:p>
    <w:p>
      <w:pPr>
        <w:pStyle w:val="17"/>
        <w:adjustRightInd/>
        <w:spacing w:before="190" w:beforeLines="50" w:after="190" w:afterLines="50"/>
        <w:textAlignment w:val="auto"/>
        <w:rPr>
          <w:rFonts w:ascii="Times New Roman" w:eastAsia="楷体_GB2312" w:cs="Times New Roman"/>
          <w:bCs/>
          <w:color w:val="000000" w:themeColor="text1"/>
          <w:sz w:val="44"/>
          <w:szCs w:val="44"/>
          <w14:textFill>
            <w14:solidFill>
              <w14:schemeClr w14:val="tx1"/>
            </w14:solidFill>
          </w14:textFill>
        </w:rPr>
      </w:pPr>
      <w:r>
        <w:rPr>
          <w:rFonts w:ascii="Times New Roman" w:eastAsia="楷体_GB2312" w:cs="Times New Roman"/>
          <w:bCs/>
          <w:color w:val="000000" w:themeColor="text1"/>
          <w:sz w:val="44"/>
          <w:szCs w:val="44"/>
          <w14:textFill>
            <w14:solidFill>
              <w14:schemeClr w14:val="tx1"/>
            </w14:solidFill>
          </w14:textFill>
        </w:rPr>
        <w:br w:type="page"/>
      </w:r>
      <w:bookmarkStart w:id="432" w:name="_Toc43143263"/>
      <w:bookmarkStart w:id="433" w:name="_Toc1513"/>
      <w:r>
        <w:rPr>
          <w:rFonts w:ascii="Times New Roman" w:eastAsia="楷体_GB2312" w:cs="Times New Roman"/>
          <w:bCs/>
          <w:color w:val="000000" w:themeColor="text1"/>
          <w:szCs w:val="32"/>
          <w14:textFill>
            <w14:solidFill>
              <w14:schemeClr w14:val="tx1"/>
            </w14:solidFill>
          </w14:textFill>
        </w:rPr>
        <w:t>14尾矿库场外环境应急专篇</w:t>
      </w:r>
      <w:bookmarkEnd w:id="432"/>
      <w:bookmarkEnd w:id="433"/>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云南安宁泰源工贸集团有限公司景洪分公司尾矿库环境风险评估报告》结论，该尾矿库突发环境事件环境风险等级为“一般（H3S2R3）”，由此不需制定场外环境应急专篇。但是对于突发环境事件环境风险等级为“重大”的尾矿库，应实事求是，结合尾矿库实际情况制定场外环境应急专篇。</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尾矿库场外环境应急专篇是重大环境风险尾矿库环境应急预案的一部分，重点提出地方政府及其相关部门处置尾矿库突发环境事件的措施建议、以及尾矿库企业在企业外部可采取的处置措施，是地方政府制定尾矿库环境应急专项预案的基础，有利于实现企业应急处置工作与政府应急处置工作之间的有效衔接。场外专篇作为预案的一部分一并评审报备。场外专篇的编制应包含但不限于以下内容：</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（一）应急准备措施</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尾矿库环境风险评估报告分析的尾矿库突发环境事件影响范围，结合尾矿库周边地形地貌以及单位、居民和饮用水水源地等环境敏感点分布特点，提出在尾矿库下游总排口、地表水汇入处及其沿线，建设拦截、围堵、贮存等设施的具体位置、数量和规模等建议，并说明其用途。</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（二）环境应急监测</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提出地方政府及其环境保护主管部门组织成立环境应急监测队伍的建议；按照尾矿库特征污染物种类、数量、影响范围以及周边环境敏感点的分布，提出环境应急监测方案、必要的监测设备配置、监测队伍要求等方面的建议。当尾矿库企业自身具备环境应急监测能力时，环境应急监测方案建议中，要明确企业环境应急监测人员的工作职责。</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环境应急监测方案要明确在污染区域和未被污染区域分别进行采样的规定，以便掌握污染带移动过程。污染区域的监测点位至少包括尾矿库下游地表水汇入处及受污染地表水河段沿线，必要时需考虑跨界断面。在事件发生初期，根据突发环境事件的危害程度，适当增加监测点位和频次；随着污染物的扩散和应急处置工作的进行，根据监测结果的变化情况适时调整监测频次和监测点位。</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环境应急监测方案要明确监测结果分析的负责人、分析流程、分析结果论证等内容。环境应急监测分析结论是预测尾矿库突发环境事件情况和污染物变化情况的依据，为应急处置的决策提供技术支持。</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场外专篇的环境应急监测方案可与“6.3.1”环境应急监测方案一并编制，作为预案附件。</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（三）应急处置措施</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场外专篇要提出应急处置方案的具体内容和实施单位建议，明确尾矿库企业可以配合现场处置工作的具体内容。根据尾矿库突发环境事件的情景，应急处置方案包括：</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（1）根据尾矿库企业环境应急预案，提出切断污染源的有效方法建议；分析污染物可能对外环境造成污染的途径，提出泄漏至外环境的污染物控制技术方法建议。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（2）结合现有应急物资情况，提出应当调用的应急物资、装备及设施的建议。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（3）提出处理好公众咨询、接待和安抚受害者等的措施建议。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提出指挥企业对泄漏源进行围堵和控制方法建议，可以结合现场情况，启动应急泵将尾矿或尾矿水及时转移到事故池，或通过人工敷设管渠将其截流至临近其他存储设施中，并用示意图指出转移的具体路线。</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（5）提出在尾矿库下游至受影响河段设置围挡、拦截设施的位置、规模等建议，并用示意图明示。</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（6）当尾矿库突发环境事件对饮用水水源地造成影响时，提出报请地方政府即刻下令关闭取水口，同时启动备用水源，直至达标后恢复使用的建议。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（7）提出进行人员疏散和安置的建议，指出可以使用的避险场所，具体路线和避难场所位置用示意图明示。</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（8）提出承担污染造成受伤人员救治任务医院的建议；当饮用水水源地受到污染时，提出加大对居民用水的监测密度、根据水质情况提出恢复供水的建议。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（9）提出将事件信息、影响、救援工作的进展等情况及时向媒体和公众公布的建议，以消除公众的恐慌心理，避免群体性事件的发生。</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（四）应急终止</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提出建立应急终止条件分析、应急终止命令发布机制、参与分析人员、终止命令发布程序以及应急终止后续工作内容等建议。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（五）后期处置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应急终止后提出对现场污染物进行后续处理、恢复企业及受影响区域周边正常秩序的工作内容的建议。</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（六）总结评估</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应急终止后，提出对尾矿库突发环境事件应急处置工作做出总结，及时开展环境损害评估和赔偿，进行环境修复和生态恢复等工作的建议。</w:t>
      </w:r>
    </w:p>
    <w:p>
      <w:pPr>
        <w:spacing w:before="190" w:beforeLines="50" w:after="190" w:afterLines="50"/>
        <w:ind w:firstLine="0" w:firstLineChars="0"/>
        <w:outlineLvl w:val="0"/>
        <w:rPr>
          <w:rFonts w:eastAsia="楷体_GB2312" w:cs="Times New Roman"/>
          <w:bCs/>
          <w:color w:val="000000" w:themeColor="text1"/>
          <w:sz w:val="44"/>
          <w:szCs w:val="44"/>
          <w14:textFill>
            <w14:solidFill>
              <w14:schemeClr w14:val="tx1"/>
            </w14:solidFill>
          </w14:textFill>
        </w:rPr>
      </w:pPr>
      <w:bookmarkStart w:id="434" w:name="_Toc7197"/>
      <w:r>
        <w:rPr>
          <w:rFonts w:eastAsia="楷体_GB2312" w:cs="Times New Roman"/>
          <w:bCs/>
          <w:color w:val="000000" w:themeColor="text1"/>
          <w:sz w:val="44"/>
          <w:szCs w:val="44"/>
          <w14:textFill>
            <w14:solidFill>
              <w14:schemeClr w14:val="tx1"/>
            </w14:solidFill>
          </w14:textFill>
        </w:rPr>
        <w:br w:type="page"/>
      </w:r>
      <w:bookmarkStart w:id="435" w:name="_Toc43143264"/>
      <w:r>
        <w:rPr>
          <w:rStyle w:val="36"/>
          <w:color w:val="000000" w:themeColor="text1"/>
          <w14:textFill>
            <w14:solidFill>
              <w14:schemeClr w14:val="tx1"/>
            </w14:solidFill>
          </w14:textFill>
        </w:rPr>
        <w:t>15术语和定义</w:t>
      </w:r>
      <w:bookmarkEnd w:id="434"/>
      <w:bookmarkEnd w:id="435"/>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尾矿库：</w:t>
      </w:r>
      <w:r>
        <w:rPr>
          <w:rFonts w:cs="Times New Roman"/>
          <w:color w:val="000000" w:themeColor="text1"/>
          <w:szCs w:val="28"/>
          <w14:textFill>
            <w14:solidFill>
              <w14:schemeClr w14:val="tx1"/>
            </w14:solidFill>
          </w14:textFill>
        </w:rPr>
        <w:t>是指筑坝拦截谷口或围地构成的，用以堆存金属非金属矿山进行矿石选别后排出尾矿、冶炼过程中产生的废物、其他工业废渣的场所。本预案术语为</w:t>
      </w:r>
      <w:r>
        <w:rPr>
          <w:rFonts w:hint="eastAsia"/>
          <w:color w:val="000000" w:themeColor="text1"/>
          <w14:textFill>
            <w14:solidFill>
              <w14:schemeClr w14:val="tx1"/>
            </w14:solidFill>
          </w14:textFill>
        </w:rPr>
        <w:t>云南安宁泰源工贸集团有限公司景洪分公司</w:t>
      </w:r>
      <w:r>
        <w:rPr>
          <w:rFonts w:cs="Times New Roman"/>
          <w:color w:val="000000" w:themeColor="text1"/>
          <w:szCs w:val="28"/>
          <w14:textFill>
            <w14:solidFill>
              <w14:schemeClr w14:val="tx1"/>
            </w14:solidFill>
          </w14:textFill>
        </w:rPr>
        <w:t>尾矿库。</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环境事件：</w:t>
      </w:r>
      <w:r>
        <w:rPr>
          <w:rFonts w:cs="Times New Roman"/>
          <w:color w:val="000000" w:themeColor="text1"/>
          <w:szCs w:val="28"/>
          <w14:textFill>
            <w14:solidFill>
              <w14:schemeClr w14:val="tx1"/>
            </w14:solidFill>
          </w14:textFill>
        </w:rPr>
        <w:t>是指由于违反环境保护法律法规的经济、社会活动与行为，以及意外因素的影响或不可抗拒的自然灾害等原因致使环境受到污染，人体健康受到危害，社会经济与人民群众财产受到损失，造成不良社会影响的突发性事件。</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突发性环境事件：</w:t>
      </w:r>
      <w:r>
        <w:rPr>
          <w:rFonts w:cs="Times New Roman"/>
          <w:color w:val="000000" w:themeColor="text1"/>
          <w:szCs w:val="28"/>
          <w14:textFill>
            <w14:solidFill>
              <w14:schemeClr w14:val="tx1"/>
            </w14:solidFill>
          </w14:textFill>
        </w:rPr>
        <w:t>是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染等突发性环境污染事件和辐射污染事件。</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环境应急：</w:t>
      </w:r>
      <w:r>
        <w:rPr>
          <w:rFonts w:cs="Times New Roman"/>
          <w:color w:val="000000" w:themeColor="text1"/>
          <w:szCs w:val="28"/>
          <w14:textFill>
            <w14:solidFill>
              <w14:schemeClr w14:val="tx1"/>
            </w14:solidFill>
          </w14:textFill>
        </w:rPr>
        <w:t>针对可能或已发生的突发性环境污染事故需要立即采取某些超出正常工作程序的行动，以避免事件发生或减轻事件后果的状态，也称为紧急状态；同时也泛指立即采取超出正常工作程序的行动。</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环境风险源：</w:t>
      </w:r>
      <w:r>
        <w:rPr>
          <w:rFonts w:cs="Times New Roman"/>
          <w:color w:val="000000" w:themeColor="text1"/>
          <w:szCs w:val="28"/>
          <w14:textFill>
            <w14:solidFill>
              <w14:schemeClr w14:val="tx1"/>
            </w14:solidFill>
          </w14:textFill>
        </w:rPr>
        <w:t>指可能导致环境污染事故的污染源，以及生产、贮存、经营、使用、运输或产生、收集、利用、处置危险物质（有毒有害、易燃易爆其中含危险化学品和危险废物等）的场所、设备和装置。</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环境敏感区：</w:t>
      </w:r>
      <w:r>
        <w:rPr>
          <w:rFonts w:cs="Times New Roman"/>
          <w:color w:val="000000" w:themeColor="text1"/>
          <w:szCs w:val="28"/>
          <w14:textFill>
            <w14:solidFill>
              <w14:schemeClr w14:val="tx1"/>
            </w14:solidFill>
          </w14:textFill>
        </w:rPr>
        <w:t>根据《建设项目环境影响评价分类管理名录》规定，指依法设立各级各类自然、文化保护地，以及对建设项目的某类污染因子或者生态因子特别敏感的区域。</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应急救援：</w:t>
      </w:r>
      <w:r>
        <w:rPr>
          <w:rFonts w:cs="Times New Roman"/>
          <w:color w:val="000000" w:themeColor="text1"/>
          <w:szCs w:val="28"/>
          <w14:textFill>
            <w14:solidFill>
              <w14:schemeClr w14:val="tx1"/>
            </w14:solidFill>
          </w14:textFill>
        </w:rPr>
        <w:t>指在发生事故时，采取的消除、减少事故危害和防止事故恶化，最大限度降低事故损失的措施。</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环境保护目标：</w:t>
      </w:r>
      <w:r>
        <w:rPr>
          <w:rFonts w:cs="Times New Roman"/>
          <w:color w:val="000000" w:themeColor="text1"/>
          <w:szCs w:val="28"/>
          <w14:textFill>
            <w14:solidFill>
              <w14:schemeClr w14:val="tx1"/>
            </w14:solidFill>
          </w14:textFill>
        </w:rPr>
        <w:t>指在突发环境事件应急中，需要保护的环境敏感区域中可能受到影响的对象。</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泄漏处理：</w:t>
      </w:r>
      <w:r>
        <w:rPr>
          <w:rFonts w:cs="Times New Roman"/>
          <w:color w:val="000000" w:themeColor="text1"/>
          <w:szCs w:val="28"/>
          <w14:textFill>
            <w14:solidFill>
              <w14:schemeClr w14:val="tx1"/>
            </w14:solidFill>
          </w14:textFill>
        </w:rPr>
        <w:t>泄漏处理是指对危险化学品、危险废物、放射性物质、有毒气体等污染源因事件发生泄漏时的所采取的应急处置措施。泄漏处理要及时、得当，避免重大事件的发生。泄漏处理一般分为泄漏源控制和泄漏物处置两部分。</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应急监测：</w:t>
      </w:r>
      <w:r>
        <w:rPr>
          <w:rFonts w:cs="Times New Roman"/>
          <w:color w:val="000000" w:themeColor="text1"/>
          <w:szCs w:val="28"/>
          <w14:textFill>
            <w14:solidFill>
              <w14:schemeClr w14:val="tx1"/>
            </w14:solidFill>
          </w14:textFill>
        </w:rPr>
        <w:t>环境应急情况下，为发现和查明环境污染情况和污染范围而进行的环境监测。包括定点监测和动态监测。</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应急演习：</w:t>
      </w:r>
      <w:r>
        <w:rPr>
          <w:rFonts w:cs="Times New Roman"/>
          <w:color w:val="000000" w:themeColor="text1"/>
          <w:szCs w:val="28"/>
          <w14:textFill>
            <w14:solidFill>
              <w14:schemeClr w14:val="tx1"/>
            </w14:solidFill>
          </w14:textFill>
        </w:rPr>
        <w:t>为检验应急计划的有效性、应急准备的完善性、应急响应能力的适应性和应急人员的协同性而进行的一种模拟应急响应的实践活动，根据所涉及的内容和范围的不同，可分为单项演习（演练）、综合演习和指挥中心、现场应急组织联合进行的联合演习。</w:t>
      </w:r>
    </w:p>
    <w:p>
      <w:pPr>
        <w:ind w:firstLine="562"/>
        <w:rPr>
          <w:rFonts w:cs="Times New Roman"/>
          <w:color w:val="000000" w:themeColor="text1"/>
          <w:szCs w:val="28"/>
          <w14:textFill>
            <w14:solidFill>
              <w14:schemeClr w14:val="tx1"/>
            </w14:solidFill>
          </w14:textFill>
        </w:rPr>
      </w:pPr>
      <w:r>
        <w:rPr>
          <w:rFonts w:cs="Times New Roman"/>
          <w:b/>
          <w:color w:val="000000" w:themeColor="text1"/>
          <w:szCs w:val="28"/>
          <w14:textFill>
            <w14:solidFill>
              <w14:schemeClr w14:val="tx1"/>
            </w14:solidFill>
          </w14:textFill>
        </w:rPr>
        <w:t>预案：</w:t>
      </w:r>
      <w:r>
        <w:rPr>
          <w:rFonts w:cs="Times New Roman"/>
          <w:color w:val="000000" w:themeColor="text1"/>
          <w:szCs w:val="28"/>
          <w14:textFill>
            <w14:solidFill>
              <w14:schemeClr w14:val="tx1"/>
            </w14:solidFill>
          </w14:textFill>
        </w:rPr>
        <w:t>指根据预测危险源、危险目标可能发生事故的类别、危害程度，而制定的事故应急救援方案，要充分考虑现有物资、人质及危险源的具体条件，能及时、有效地统筹指导事故应急救援行动。</w:t>
      </w:r>
    </w:p>
    <w:p>
      <w:pPr>
        <w:ind w:firstLine="562" w:firstLineChars="0"/>
        <w:rPr>
          <w:rFonts w:cs="Times New Roman"/>
          <w:b/>
          <w:color w:val="000000" w:themeColor="text1"/>
          <w:szCs w:val="22"/>
          <w14:textFill>
            <w14:solidFill>
              <w14:schemeClr w14:val="tx1"/>
            </w14:solidFill>
          </w14:textFill>
        </w:rPr>
      </w:pPr>
      <w:r>
        <w:rPr>
          <w:rFonts w:cs="Times New Roman"/>
          <w:b/>
          <w:color w:val="000000" w:themeColor="text1"/>
          <w:szCs w:val="28"/>
          <w14:textFill>
            <w14:solidFill>
              <w14:schemeClr w14:val="tx1"/>
            </w14:solidFill>
          </w14:textFill>
        </w:rPr>
        <w:t>分级：</w:t>
      </w:r>
      <w:r>
        <w:rPr>
          <w:rFonts w:cs="Times New Roman"/>
          <w:color w:val="000000" w:themeColor="text1"/>
          <w:szCs w:val="28"/>
          <w14:textFill>
            <w14:solidFill>
              <w14:schemeClr w14:val="tx1"/>
            </w14:solidFill>
          </w14:textFill>
        </w:rPr>
        <w:t>按照突发环境事件的严重性、紧急程度及危害程度划分的级别。</w:t>
      </w:r>
    </w:p>
    <w:p>
      <w:pPr>
        <w:ind w:firstLine="560"/>
        <w:rPr>
          <w:color w:val="000000" w:themeColor="text1"/>
          <w14:textFill>
            <w14:solidFill>
              <w14:schemeClr w14:val="tx1"/>
            </w14:solidFill>
          </w14:textFill>
        </w:rPr>
      </w:pPr>
    </w:p>
    <w:sectPr>
      <w:headerReference r:id="rId41" w:type="default"/>
      <w:footerReference r:id="rId43" w:type="default"/>
      <w:headerReference r:id="rId42" w:type="even"/>
      <w:footerReference r:id="rId44" w:type="even"/>
      <w:pgSz w:w="11906" w:h="16838"/>
      <w:pgMar w:top="1440" w:right="1800" w:bottom="1440" w:left="1800" w:header="851" w:footer="992" w:gutter="0"/>
      <w:pgNumType w:fmt="decimal"/>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right"/>
    </w:pPr>
  </w:p>
  <w:p>
    <w:pPr>
      <w:pStyle w:val="24"/>
      <w:ind w:firstLine="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5"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4"/>
                            <w:ind w:firstLine="360"/>
                          </w:pPr>
                          <w:r>
                            <w:fldChar w:fldCharType="begin"/>
                          </w:r>
                          <w:r>
                            <w:instrText xml:space="preserve"> PAGE  \* MERGEFORMAT </w:instrText>
                          </w:r>
                          <w:r>
                            <w:fldChar w:fldCharType="separate"/>
                          </w:r>
                          <w:r>
                            <w:t>39</w:t>
                          </w:r>
                          <w:r>
                            <w:fldChar w:fldCharType="end"/>
                          </w:r>
                        </w:p>
                      </w:txbxContent>
                    </wps:txbx>
                    <wps:bodyPr wrap="none" lIns="0" tIns="0" rIns="0" bIns="0" upright="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dCyoM8BAACpAwAADgAAAGRycy9lMm9Eb2MueG1srVNLbtswEN0XyB0I&#10;7mPJBloIguUggZEiQNAWSHsAmiItAvyBQ1vyBdobdNVN9z2Xz9EhJTltusmiG2p+fDPvcbS+GYwm&#10;RxFAOdvQ5aKkRFjuWmX3Df3y+f66ogQisy3TzoqGngTQm83Vm3Xva7FyndOtCARBLNS9b2gXo6+L&#10;AngnDIOF88JiUrpgWEQ37Is2sB7RjS5WZfmu6F1ofXBcAGB0OybphBheA+ikVFxsHT8YYeOIGoRm&#10;ESlBpzzQTZ5WSsHjRylBRKIbikxjPrEJ2rt0Fps1q/eB+U7xaQT2mhFecDJMWWx6gdqyyMghqH+g&#10;jOLBgZNxwZ0pRiJZEWSxLF9o89QxLzIXlBr8RXT4f7D8w/FTIKptaPWWEssMvvj5+7fzj1/nn1/J&#10;cpUE6j3UWPfksTIOd27AtZnjgMHEe5DBpC8yIphHeU8XecUQCU+XqlVVlZjimJsdxC+er/sA8b1w&#10;hiSjoQHfL8vKjo8Qx9K5JHWz7l5pnd9Q278CiDlGRF6C6XZiMk6crDjshonezrUnZNfjIjTU4t5T&#10;oh8s6px2ZjbCbOxm4+CD2nc46DJPCf72EHGkPGnqMMIiw+TgC2au07alFfnTz1XPf9jm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0LKgzwEAAKkDAAAOAAAAAAAAAAEAIAAAAB4BAABkcnMv&#10;ZTJvRG9jLnhtbFBLBQYAAAAABgAGAFkBAABfBQAAAAA=&#10;">
              <v:fill on="f" focussize="0,0"/>
              <v:stroke on="f"/>
              <v:imagedata o:title=""/>
              <o:lock v:ext="edit" aspectratio="f"/>
              <v:textbox inset="0mm,0mm,0mm,0mm" style="mso-fit-shape-to-text:t;">
                <w:txbxContent>
                  <w:p>
                    <w:pPr>
                      <w:pStyle w:val="24"/>
                      <w:ind w:firstLine="360"/>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right"/>
    </w:pPr>
    <w:r>
      <w:rPr>
        <w:sz w:val="18"/>
      </w:rPr>
      <mc:AlternateContent>
        <mc:Choice Requires="wps">
          <w:drawing>
            <wp:anchor distT="0" distB="0" distL="114300" distR="114300" simplePos="0" relativeHeight="251702272" behindDoc="0" locked="0" layoutInCell="1" allowOverlap="1">
              <wp:simplePos x="0" y="0"/>
              <wp:positionH relativeFrom="margin">
                <wp:posOffset>-1084580</wp:posOffset>
              </wp:positionH>
              <wp:positionV relativeFrom="paragraph">
                <wp:posOffset>1226185</wp:posOffset>
              </wp:positionV>
              <wp:extent cx="1828800" cy="1828800"/>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4pt;margin-top:96.55pt;height:144pt;width:144pt;mso-position-horizontal-relative:margin;mso-wrap-style:none;z-index:251702272;mso-width-relative:page;mso-height-relative:page;" filled="f" stroked="f" coordsize="21600,21600" o:gfxdata="UEsDBAoAAAAAAIdO4kAAAAAAAAAAAAAAAAAEAAAAZHJzL1BLAwQUAAAACACHTuJArQMuYtgAAAAM&#10;AQAADwAAAGRycy9kb3ducmV2LnhtbE2PMU/DMBSEdyT+g/WQ2FrbbUXbEKcSFWFEomFgdOPXJBA/&#10;R7abhn+PO9HxdKe77/LdZHs2og+dIwVyLoAh1c501Cj4rMrZBliImozuHaGCXwywK+7vcp0Zd6EP&#10;HA+xYamEQqYVtDEOGeehbtHqMHcDUvJOzlsdk/QNN15fUrnt+UKIJ251R2mh1QPuW6x/DmerYF9W&#10;lR8x+P4L38rl9/vLCl8npR4fpHgGFnGK/2G44id0KBLT0Z3JBNYrmMm1SOwxOdulBHaNyPUC2FHB&#10;aiMl8CLntyeKP1BLAwQUAAAACACHTuJAIKB9DDQCAABlBAAADgAAAGRycy9lMm9Eb2MueG1srVTN&#10;jtMwEL4j8Q6W7zRp0a6qqumqbFWEVLErLYiz6ziNJf/JdpuUB4A34MSFO8/V59jPSdNFC4c9cHHG&#10;nvE3/r6Zyfym1YochA/SmoKORzklwnBbSrMr6OdP6zdTSkJkpmTKGlHQowj0ZvH61bxxMzGxtVWl&#10;8AQgJswaV9A6RjfLssBroVkYWScMnJX1mkVs/S4rPWuArlU2yfPrrLG+dN5yEQJOV72TnhH9SwBt&#10;VUkuVpbvtTCxR/VCsQhKoZYu0EX32qoSPN5VVRCRqIKCaexWJIG9TWu2mLPZzjNXS35+AnvJE55x&#10;0kwaJL1ArVhkZO/lX1Bacm+DreKIW531RDpFwGKcP9PmoWZOdFwgdXAX0cP/g+UfD/eeyBKdkF9R&#10;YphGyU8/vp9+/j79+kbSISRqXJgh8sEhNrbvbIvw4TzgMDFvK6/TF5wI/BD4eBFYtJHwdGk6mU5z&#10;uDh8wwb42dN150N8L6wmySioRwU7YdlhE2IfOoSkbMaupVJdFZUhTUGv317l3YWLB+DKIEci0T82&#10;WbHdtmdmW1seQczbvjuC42uJ5BsW4j3zaAc8GAMT77BUyiKJPVuU1NZ//dd5ikeV4KWkQXsV1GCa&#10;KFEfDKoHwDgYfjC2g2H2+taiX8cYRMc7Exd8VINZeau/YIqWKQdczHBkKmgczNvYtzimkIvlsgva&#10;Oy93dX8BvedY3JgHx1OaJGRwy32EmJ3GSaBelbNu6L6uSudJSe39576Levo7LB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QMuYtgAAAAMAQAADwAAAAAAAAABACAAAAAiAAAAZHJzL2Rvd25yZXYu&#10;eG1sUEsBAhQAFAAAAAgAh07iQCCgfQw0AgAAZQQAAA4AAAAAAAAAAQAgAAAAJwEAAGRycy9lMm9E&#10;b2MueG1sUEsFBgAAAAAGAAYAWQEAAM0FAAAAAA==&#10;">
              <v:fill on="f" focussize="0,0"/>
              <v:stroke on="f" weight="0.5pt"/>
              <v:imagedata o:title=""/>
              <o:lock v:ext="edit" aspectratio="f"/>
              <v:textbox inset="0mm,0mm,0mm,0mm" style="mso-fit-shape-to-text:t;">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mc:Fallback>
      </mc:AlternateContent>
    </w:r>
  </w:p>
  <w:p>
    <w:pPr>
      <w:pStyle w:val="24"/>
      <w:ind w:firstLine="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right"/>
    </w:pPr>
  </w:p>
  <w:p>
    <w:pPr>
      <w:pStyle w:val="24"/>
      <w:ind w:firstLine="360"/>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left" w:pos="2612"/>
        <w:tab w:val="clear" w:pos="4153"/>
        <w:tab w:val="clear" w:pos="8306"/>
      </w:tabs>
      <w:ind w:firstLine="0" w:firstLineChars="0"/>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AT2g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AT2gzAgAAYwQAAA4AAAAAAAAAAQAgAAAAHwEAAGRycy9lMm9Eb2MueG1sUEsF&#10;BgAAAAAGAAYAWQEAAMQFAAAAAA==&#10;">
              <v:fill on="f" focussize="0,0"/>
              <v:stroke on="f" weight="0.5pt"/>
              <v:imagedata o:title=""/>
              <o:lock v:ext="edit" aspectratio="f"/>
              <v:textbox inset="0mm,0mm,0mm,0mm" style="mso-fit-shape-to-text:t;">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66700" cy="131445"/>
              <wp:effectExtent l="0" t="0" r="0" b="0"/>
              <wp:wrapNone/>
              <wp:docPr id="86" name="文本框 8"/>
              <wp:cNvGraphicFramePr/>
              <a:graphic xmlns:a="http://schemas.openxmlformats.org/drawingml/2006/main">
                <a:graphicData uri="http://schemas.microsoft.com/office/word/2010/wordprocessingShape">
                  <wps:wsp>
                    <wps:cNvSpPr txBox="1"/>
                    <wps:spPr>
                      <a:xfrm>
                        <a:off x="0" y="0"/>
                        <a:ext cx="266700" cy="131445"/>
                      </a:xfrm>
                      <a:prstGeom prst="rect">
                        <a:avLst/>
                      </a:prstGeom>
                      <a:noFill/>
                      <a:ln>
                        <a:noFill/>
                      </a:ln>
                      <a:effectLst/>
                    </wps:spPr>
                    <wps:txbx>
                      <w:txbxContent>
                        <w:p>
                          <w:pPr>
                            <w:pStyle w:val="24"/>
                            <w:ind w:firstLine="360"/>
                          </w:pP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0.35pt;width:21pt;mso-position-horizontal:center;mso-position-horizontal-relative:margin;mso-wrap-style:none;z-index:251661312;mso-width-relative:page;mso-height-relative:page;" filled="f" stroked="f" coordsize="21600,21600" o:gfxdata="UEsDBAoAAAAAAIdO4kAAAAAAAAAAAAAAAAAEAAAAZHJzL1BLAwQUAAAACACHTuJAJVdfHdAAAAAD&#10;AQAADwAAAGRycy9kb3ducmV2LnhtbE2PwU7DMBBE70j8g7VI3KjdCNEqjdNDJS7cKAiJmxtv4wh7&#10;Hdlumvw9Cxe4jDSa1czbZj8HLyZMeYikYb1SIJC6aAfqNby/PT9sQeRiyBofCTUsmGHf3t40prbx&#10;Sq84HUsvuIRybTS4UsZaytw5DCav4ojE2TmmYArb1EubzJXLg5eVUk8ymIF4wZkRDw67r+MlaNjM&#10;HxHHjAf8PE9dcsOy9S+L1vd3a7UDUXAuf8fwg8/o0DLTKV7IZuE18CPlVzl7rNidNFRqA7Jt5H/2&#10;9htQSwMEFAAAAAgAh07iQF+ZRufUAQAApgMAAA4AAABkcnMvZTJvRG9jLnhtbK1TS27bMBDdF+gd&#10;CO5rSW7qGoLloIWRokDRBkh7AJqiLAL8gUNb8gWaG2TVTfc5l8+RISU5bbLJIhtqODN8M+/NaHXZ&#10;a0UOwoO0pqLFLKdEGG5raXYV/fXz6t2SEgjM1ExZIyp6FEAv12/frDpXirltraqFJwhioOxcRdsQ&#10;XJllwFuhGcysEwaDjfWaBbz6XVZ71iG6Vtk8zxdZZ33tvOUCAL2bIUhHRP8SQNs0kouN5XstTBhQ&#10;vVAsICVopQO6Tt02jeDhR9OACERVFJmGdGIRtLfxzNYrVu48c63kYwvsJS084aSZNFj0DLVhgZG9&#10;l8+gtOTegm3CjFudDUSSIsiiyJ9oc9MyJxIXlBrcWXR4PVj+/XDtiawrulxQYpjGiZ/ubk9/7k9/&#10;f5Nl1KdzUGLajcPE0H+2PW7N5Ad0Rtp943X8IiGCcVT3eFZX9IFwdM4Xi485RjiGivfFxcWHiJI9&#10;PnYewhdhNYlGRT0OL2nKDt8gDKlTSqxl7JVUKg1Qmf8ciDl4RNqA8XXkMfQbrdBv+5Hc1tZH5Nbh&#10;FlTU4NJTor4aFDkuzGT4ydhOxt55uWux0SJ1Ce7TPmBLqdNYYYBFhvGC40tcx1WL+/HvPWU9/l7r&#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VXXx3QAAAAAwEAAA8AAAAAAAAAAQAgAAAAIgAAAGRy&#10;cy9kb3ducmV2LnhtbFBLAQIUABQAAAAIAIdO4kBfmUbn1AEAAKYDAAAOAAAAAAAAAAEAIAAAAB8B&#10;AABkcnMvZTJvRG9jLnhtbFBLBQYAAAAABgAGAFkBAABlBQAAAAA=&#10;">
              <v:fill on="f" focussize="0,0"/>
              <v:stroke on="f"/>
              <v:imagedata o:title=""/>
              <o:lock v:ext="edit" aspectratio="f"/>
              <v:textbox inset="0mm,0mm,0mm,0mm" style="mso-fit-shape-to-text:t;">
                <w:txbxContent>
                  <w:p>
                    <w:pPr>
                      <w:pStyle w:val="24"/>
                      <w:ind w:firstLine="360"/>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right"/>
    </w:pPr>
    <w:r>
      <w:rPr>
        <w:sz w:val="18"/>
      </w:rPr>
      <mc:AlternateContent>
        <mc:Choice Requires="wps">
          <w:drawing>
            <wp:anchor distT="0" distB="0" distL="114300" distR="114300" simplePos="0" relativeHeight="251711488" behindDoc="0" locked="0" layoutInCell="1" allowOverlap="1">
              <wp:simplePos x="0" y="0"/>
              <wp:positionH relativeFrom="margin">
                <wp:posOffset>-1084580</wp:posOffset>
              </wp:positionH>
              <wp:positionV relativeFrom="paragraph">
                <wp:posOffset>1226185</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4pt;margin-top:96.55pt;height:144pt;width:144pt;mso-position-horizontal-relative:margin;mso-wrap-style:none;z-index:251711488;mso-width-relative:page;mso-height-relative:page;" filled="f" stroked="f" coordsize="21600,21600" o:gfxdata="UEsDBAoAAAAAAIdO4kAAAAAAAAAAAAAAAAAEAAAAZHJzL1BLAwQUAAAACACHTuJArQMuYtgAAAAM&#10;AQAADwAAAGRycy9kb3ducmV2LnhtbE2PMU/DMBSEdyT+g/WQ2FrbbUXbEKcSFWFEomFgdOPXJBA/&#10;R7abhn+PO9HxdKe77/LdZHs2og+dIwVyLoAh1c501Cj4rMrZBliImozuHaGCXwywK+7vcp0Zd6EP&#10;HA+xYamEQqYVtDEOGeehbtHqMHcDUvJOzlsdk/QNN15fUrnt+UKIJ251R2mh1QPuW6x/DmerYF9W&#10;lR8x+P4L38rl9/vLCl8npR4fpHgGFnGK/2G44id0KBLT0Z3JBNYrmMm1SOwxOdulBHaNyPUC2FHB&#10;aiMl8CLntyeKP1BLAwQUAAAACACHTuJARvUz2TMCAABlBAAADgAAAGRycy9lMm9Eb2MueG1srVRL&#10;jhMxEN0jcQfLe9JJRoyiKJ1RmCgIKWJGGhBrx+1OW/JPtpPucAC4ASs27DlXzjHP/cmggcUs2LjL&#10;rvIrv1dVvbhptCJH4YO0JqeT0ZgSYbgtpNnn9POnzZsZJSEyUzBljcjpSQR6s3z9alG7uZjayqpC&#10;eAIQE+a1y2kVo5tnWeCV0CyMrBMGztJ6zSK2fp8VntVA1yqbjsfXWW194bzlIgScrjsn7RH9SwBt&#10;WUou1pYftDCxQ/VCsQhKoZIu0GX72rIUPN6VZRCRqJyCaWxXJIG9S2u2XLD53jNXSd4/gb3kCc84&#10;aSYNkl6g1iwycvDyLygtubfBlnHErc46Iq0iYDEZP9PmoWJOtFwgdXAX0cP/g+Ufj/eeyAKdcDWl&#10;xDCNkp9/fD///H3+9Y2kQ0hUuzBH5INDbGze2Qbhw3nAYWLelF6nLzgR+CHw6SKwaCLh6dJsOpuN&#10;4eLwDRvgZ0/XnQ/xvbCaJCOnHhVshWXHbYhd6BCSshm7kUq1VVSG1Dm9vno7bi9cPABXBjkSie6x&#10;yYrNrumZ7WxxAjFvu+4Ijm8kkm9ZiPfMox3wYAxMvMNSKosktrcoqaz/+q/zFI8qwUtJjfbKqcE0&#10;UaI+GFQPgHEw/GDsBsMc9K1Fv04wiI63Ji74qAaz9FZ/wRStUg64mOHIlNM4mLexa3FMIRerVRt0&#10;cF7uq+4Ces+xuDUPjqc0ScjgVocIMVuNk0CdKr1u6L62Sv2kpPb+c99GPf0dlo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tAy5i2AAAAAwBAAAPAAAAAAAAAAEAIAAAACIAAABkcnMvZG93bnJldi54&#10;bWxQSwECFAAUAAAACACHTuJARvUz2TMCAABlBAAADgAAAAAAAAABACAAAAAnAQAAZHJzL2Uyb0Rv&#10;Yy54bWxQSwUGAAAAAAYABgBZAQAAzAUAAAAA&#10;">
              <v:fill on="f" focussize="0,0"/>
              <v:stroke on="f" weight="0.5pt"/>
              <v:imagedata o:title=""/>
              <o:lock v:ext="edit" aspectratio="f"/>
              <v:textbox inset="0mm,0mm,0mm,0mm" style="mso-fit-shape-to-text:t;">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mc:Fallback>
      </mc:AlternateContent>
    </w:r>
  </w:p>
  <w:p>
    <w:pPr>
      <w:pStyle w:val="24"/>
      <w:ind w:firstLine="360"/>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left" w:pos="2612"/>
        <w:tab w:val="clear" w:pos="4153"/>
        <w:tab w:val="clear" w:pos="8306"/>
      </w:tabs>
      <w:ind w:firstLine="0" w:firstLineChars="0"/>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266700" cy="131445"/>
              <wp:effectExtent l="0" t="0" r="0" b="0"/>
              <wp:wrapNone/>
              <wp:docPr id="113" name="文本框 8"/>
              <wp:cNvGraphicFramePr/>
              <a:graphic xmlns:a="http://schemas.openxmlformats.org/drawingml/2006/main">
                <a:graphicData uri="http://schemas.microsoft.com/office/word/2010/wordprocessingShape">
                  <wps:wsp>
                    <wps:cNvSpPr txBox="1"/>
                    <wps:spPr>
                      <a:xfrm>
                        <a:off x="0" y="0"/>
                        <a:ext cx="266700" cy="131445"/>
                      </a:xfrm>
                      <a:prstGeom prst="rect">
                        <a:avLst/>
                      </a:prstGeom>
                      <a:noFill/>
                      <a:ln>
                        <a:noFill/>
                      </a:ln>
                      <a:effectLst/>
                    </wps:spPr>
                    <wps:txbx>
                      <w:txbxContent>
                        <w:p>
                          <w:pPr>
                            <w:pStyle w:val="24"/>
                            <w:ind w:firstLine="360"/>
                          </w:pP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0.35pt;width:21pt;mso-position-horizontal:center;mso-position-horizontal-relative:margin;mso-wrap-style:none;z-index:251703296;mso-width-relative:page;mso-height-relative:page;" filled="f" stroked="f" coordsize="21600,21600" o:gfxdata="UEsDBAoAAAAAAIdO4kAAAAAAAAAAAAAAAAAEAAAAZHJzL1BLAwQUAAAACACHTuJAJVdfHdAAAAAD&#10;AQAADwAAAGRycy9kb3ducmV2LnhtbE2PwU7DMBBE70j8g7VI3KjdCNEqjdNDJS7cKAiJmxtv4wh7&#10;Hdlumvw9Cxe4jDSa1czbZj8HLyZMeYikYb1SIJC6aAfqNby/PT9sQeRiyBofCTUsmGHf3t40prbx&#10;Sq84HUsvuIRybTS4UsZaytw5DCav4ojE2TmmYArb1EubzJXLg5eVUk8ymIF4wZkRDw67r+MlaNjM&#10;HxHHjAf8PE9dcsOy9S+L1vd3a7UDUXAuf8fwg8/o0DLTKV7IZuE18CPlVzl7rNidNFRqA7Jt5H/2&#10;9htQSwMEFAAAAAgAh07iQCpMfPTTAQAApwMAAA4AAABkcnMvZTJvRG9jLnhtbK1TzY7TMBC+I/EO&#10;lu80SXcpq6jpClQtQkKAtPAArmM3lvwnj9ukLwBvwIkLd56rz8HYSbqwXPbAxRnPjL+Z75vJ+nYw&#10;mhxFAOVsQ6tFSYmw3LXK7hv65fPdixtKIDLbMu2saOhJAL3dPH+27n0tlq5zuhWBIIiFuvcN7WL0&#10;dVEA74RhsHBeWAxKFwyLeA37og2sR3Sji2VZrorehdYHxwUAerdjkE6I4SmATkrFxdbxgxE2jqhB&#10;aBaREnTKA93kbqUUPH6UEkQkuqHINOYTi6C9S2exWbN6H5jvFJ9aYE9p4REnw5TFoheoLYuMHIL6&#10;B8ooHhw4GRfcmWIkkhVBFlX5SJv7jnmRuaDU4C+iw/+D5R+OnwJRLW5CdUWJZQZHfv7+7fzj1/nn&#10;V3KTBOo91Jh37zEzDm/cgMmzH9CZeA8ymPRFRgTjKO/pIq8YIuHoXK5Wr0qMcAxVV9X19cuEUjw8&#10;9gHiW+EMSUZDA04vi8qO7yGOqXNKqmXdndI6T1DbvxyIOXpEXoHpdeIx9pusOOyGidzOtSfk1uMa&#10;NNTi1lOi31lUOW3MbITZ2M3GwQe177DRKncJ/vUhYku501RhhEWG6YLzy1ynXUsL8uc9Zz38X5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VdfHdAAAAADAQAADwAAAAAAAAABACAAAAAiAAAAZHJz&#10;L2Rvd25yZXYueG1sUEsBAhQAFAAAAAgAh07iQCpMfPTTAQAApwMAAA4AAAAAAAAAAQAgAAAAHwEA&#10;AGRycy9lMm9Eb2MueG1sUEsFBgAAAAAGAAYAWQEAAGQFAAAAAA==&#10;">
              <v:fill on="f" focussize="0,0"/>
              <v:stroke on="f"/>
              <v:imagedata o:title=""/>
              <o:lock v:ext="edit" aspectratio="f"/>
              <v:textbox inset="0mm,0mm,0mm,0mm" style="mso-fit-shape-to-text:t;">
                <w:txbxContent>
                  <w:p>
                    <w:pPr>
                      <w:pStyle w:val="24"/>
                      <w:ind w:firstLine="360"/>
                    </w:pP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right"/>
    </w:pPr>
  </w:p>
  <w:p>
    <w:pPr>
      <w:pStyle w:val="24"/>
      <w:ind w:firstLine="360"/>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both"/>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311150" cy="131445"/>
              <wp:effectExtent l="0" t="0" r="0" b="0"/>
              <wp:wrapNone/>
              <wp:docPr id="130" name="文本框 13"/>
              <wp:cNvGraphicFramePr/>
              <a:graphic xmlns:a="http://schemas.openxmlformats.org/drawingml/2006/main">
                <a:graphicData uri="http://schemas.microsoft.com/office/word/2010/wordprocessingShape">
                  <wps:wsp>
                    <wps:cNvSpPr txBox="1"/>
                    <wps:spPr>
                      <a:xfrm>
                        <a:off x="0" y="0"/>
                        <a:ext cx="311150" cy="131445"/>
                      </a:xfrm>
                      <a:prstGeom prst="rect">
                        <a:avLst/>
                      </a:prstGeom>
                      <a:noFill/>
                      <a:ln>
                        <a:noFill/>
                      </a:ln>
                      <a:effectLst/>
                    </wps:spPr>
                    <wps:txbx>
                      <w:txbxContent>
                        <w:p>
                          <w:pPr>
                            <w:ind w:firstLine="0" w:firstLineChars="0"/>
                          </w:pP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0.35pt;width:24.5pt;mso-position-horizontal:center;mso-position-horizontal-relative:margin;mso-wrap-style:none;z-index:251710464;mso-width-relative:page;mso-height-relative:page;" filled="f" stroked="f" coordsize="21600,21600" o:gfxdata="UEsDBAoAAAAAAIdO4kAAAAAAAAAAAAAAAAAEAAAAZHJzL1BLAwQUAAAACACHTuJA6rguEtAAAAAD&#10;AQAADwAAAGRycy9kb3ducmV2LnhtbE2PwU7DMBBE70j9B2srcaN2K0RLiNNDJS7cKAiJmxtv4wh7&#10;Hdlumvw9Cxe4jDSa1czbej8FL0ZMuY+kYb1SIJDaaHvqNLy/Pd/tQORiyBofCTXMmGHfLG5qU9l4&#10;pVccj6UTXEK5MhpcKUMlZW4dBpNXcUDi7BxTMIVt6qRN5srlwcuNUg8ymJ54wZkBDw7br+MlaNhO&#10;HxGHjAf8PI9tcv288y+z1rfLtXoCUXAqf8fwg8/o0DDTKV7IZuE18CPlVzm7f2R30rBRW5BNLf+z&#10;N99QSwMEFAAAAAgAh07iQORkphPTAQAAqAMAAA4AAABkcnMvZTJvRG9jLnhtbK1TzY7TMBC+I/EO&#10;lu809XYXoajpClQtQkKAtPAArmM3lvwnj9ukLwBvwIkLd56rz8HYSbqwXPbAxRnPjD9/3+fJ+naw&#10;hhxlBO1dQ9liSYl0wrfa7Rv65fPdi1eUQOKu5cY72dCTBHq7ef5s3YdaXvnOm1ZGgiAO6j40tEsp&#10;1FUFopOWw8IH6bCofLQ84TbuqzbyHtGtqa6Wy5dV72MbohcSALPbsUgnxPgUQK+UFnLrxcFKl0bU&#10;KA1PKAk6HYBuClulpEgflQKZiGkoKk1lxUsw3uW12qx5vY88dFpMFPhTKDzSZLl2eOkFassTJ4eo&#10;/4GyWkQPXqWF8LYahRRHUAVbPvLmvuNBFi1oNYSL6fD/YMWH46dIdIuTsEJPHLf45Ofv384/fp1/&#10;fiVslR3qA9TYeB+wNQ1v/IDdcx4wmYUPKtr8RUkE64h1uvgrh0QEJleMsRusCCyxFbu+vsko1cPh&#10;ECG9ld6SHDQ04vMVV/nxPaSxdW7Jdzl/p40pT2jcXwnEHDOyzMB0OusY+eYoDbthErfz7Qm19TgH&#10;DXU49pSYdw5tRrJpDuIc7ObgEKLed0iUFZYQXh8SUipM8w0jLCrMG3zAonUatjwhf+5L18MPtv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6rguEtAAAAADAQAADwAAAAAAAAABACAAAAAiAAAAZHJz&#10;L2Rvd25yZXYueG1sUEsBAhQAFAAAAAgAh07iQORkphPTAQAAqAMAAA4AAAAAAAAAAQAgAAAAHwEA&#10;AGRycy9lMm9Eb2MueG1sUEsFBgAAAAAGAAYAWQEAAGQFAAAAAA==&#10;">
              <v:fill on="f" focussize="0,0"/>
              <v:stroke on="f"/>
              <v:imagedata o:title=""/>
              <o:lock v:ext="edit" aspectratio="f"/>
              <v:textbox inset="0mm,0mm,0mm,0mm" style="mso-fit-shape-to-text:t;">
                <w:txbxContent>
                  <w:p>
                    <w:pPr>
                      <w:ind w:firstLine="0" w:firstLineChars="0"/>
                    </w:pP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311150" cy="131445"/>
              <wp:effectExtent l="0" t="0" r="0" b="0"/>
              <wp:wrapNone/>
              <wp:docPr id="127" name="文本框 13"/>
              <wp:cNvGraphicFramePr/>
              <a:graphic xmlns:a="http://schemas.openxmlformats.org/drawingml/2006/main">
                <a:graphicData uri="http://schemas.microsoft.com/office/word/2010/wordprocessingShape">
                  <wps:wsp>
                    <wps:cNvSpPr txBox="1"/>
                    <wps:spPr>
                      <a:xfrm>
                        <a:off x="0" y="0"/>
                        <a:ext cx="311150" cy="131445"/>
                      </a:xfrm>
                      <a:prstGeom prst="rect">
                        <a:avLst/>
                      </a:prstGeom>
                      <a:noFill/>
                      <a:ln>
                        <a:noFill/>
                      </a:ln>
                      <a:effectLst/>
                    </wps:spPr>
                    <wps:txbx>
                      <w:txbxContent>
                        <w:p>
                          <w:pPr>
                            <w:ind w:firstLine="0" w:firstLineChars="0"/>
                          </w:pP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0.35pt;width:24.5pt;mso-position-horizontal:center;mso-position-horizontal-relative:margin;mso-wrap-style:none;z-index:251709440;mso-width-relative:page;mso-height-relative:page;" filled="f" stroked="f" coordsize="21600,21600" o:gfxdata="UEsDBAoAAAAAAIdO4kAAAAAAAAAAAAAAAAAEAAAAZHJzL1BLAwQUAAAACACHTuJA6rguEtAAAAAD&#10;AQAADwAAAGRycy9kb3ducmV2LnhtbE2PwU7DMBBE70j9B2srcaN2K0RLiNNDJS7cKAiJmxtv4wh7&#10;Hdlumvw9Cxe4jDSa1czbej8FL0ZMuY+kYb1SIJDaaHvqNLy/Pd/tQORiyBofCTXMmGHfLG5qU9l4&#10;pVccj6UTXEK5MhpcKUMlZW4dBpNXcUDi7BxTMIVt6qRN5srlwcuNUg8ymJ54wZkBDw7br+MlaNhO&#10;HxGHjAf8PI9tcv288y+z1rfLtXoCUXAqf8fwg8/o0DDTKV7IZuE18CPlVzm7f2R30rBRW5BNLf+z&#10;N99QSwMEFAAAAAgAh07iQPP6sOPVAQAAqAMAAA4AAABkcnMvZTJvRG9jLnhtbK1TS27bMBDdF8gd&#10;CO5rWXbSBoLloIWRoEDRFkh6AJoiLQL8gUNb8gXaG3TVTfc9l8+RISU5bbrJohtqODN8M+/NaHXT&#10;G00OIoBytqblbE6JsNw1yu5q+vXh9vU1JRCZbZh2VtT0KIDerC9erTpfiYVrnW5EIAhioep8TdsY&#10;fVUUwFthGMycFxaD0gXDIl7DrmgC6xDd6GIxn78pOhcaHxwXAOjdDEE6IoaXADopFRcbx/dG2Dig&#10;BqFZRErQKg90nbuVUvD4WUoQkeiaItOYTyyC9jadxXrFql1gvlV8bIG9pIVnnAxTFoueoTYsMrIP&#10;6h8oo3hw4GSccWeKgUhWBFmU82fa3LfMi8wFpQZ/Fh3+Hyz/dPgSiGpwExZvKbHM4MhPP76ffv4+&#10;/fpGymVSqPNQYeK9x9TYv3c9Zk9+QGci3stg0hcpEYyjvsezvqKPhKNzWZblFUY4hspleXl5lVCK&#10;p8c+QLwTzpBk1DTg+LKq7PAR4pA6paRa1t0qrfMItf3LgZiDR+QdGF8nHkO/yYr9th/JbV1zRG4d&#10;7kFNLa49JfqDRZnTykxGmIztZOx9ULsWGy1zl+Df7SO2lDtNFQZYZJguOMDMdVy2tCF/3nPW0w+2&#10;fg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quC4S0AAAAAMBAAAPAAAAAAAAAAEAIAAAACIAAABk&#10;cnMvZG93bnJldi54bWxQSwECFAAUAAAACACHTuJA8/qw49UBAACoAwAADgAAAAAAAAABACAAAAAf&#10;AQAAZHJzL2Uyb0RvYy54bWxQSwUGAAAAAAYABgBZAQAAZgUAAAAA&#10;">
              <v:fill on="f" focussize="0,0"/>
              <v:stroke on="f"/>
              <v:imagedata o:title=""/>
              <o:lock v:ext="edit" aspectratio="f"/>
              <v:textbox inset="0mm,0mm,0mm,0mm" style="mso-fit-shape-to-text:t;">
                <w:txbxContent>
                  <w:p>
                    <w:pPr>
                      <w:ind w:firstLine="0" w:firstLineChars="0"/>
                    </w:pP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311150" cy="131445"/>
              <wp:effectExtent l="0" t="0" r="0" b="0"/>
              <wp:wrapNone/>
              <wp:docPr id="124" name="文本框 13"/>
              <wp:cNvGraphicFramePr/>
              <a:graphic xmlns:a="http://schemas.openxmlformats.org/drawingml/2006/main">
                <a:graphicData uri="http://schemas.microsoft.com/office/word/2010/wordprocessingShape">
                  <wps:wsp>
                    <wps:cNvSpPr txBox="1"/>
                    <wps:spPr>
                      <a:xfrm>
                        <a:off x="0" y="0"/>
                        <a:ext cx="311150" cy="131445"/>
                      </a:xfrm>
                      <a:prstGeom prst="rect">
                        <a:avLst/>
                      </a:prstGeom>
                      <a:noFill/>
                      <a:ln>
                        <a:noFill/>
                      </a:ln>
                      <a:effectLst/>
                    </wps:spPr>
                    <wps:txbx>
                      <w:txbxContent>
                        <w:p>
                          <w:pPr>
                            <w:ind w:firstLine="0" w:firstLineChars="0"/>
                          </w:pP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0.35pt;width:24.5pt;mso-position-horizontal:center;mso-position-horizontal-relative:margin;mso-wrap-style:none;z-index:251708416;mso-width-relative:page;mso-height-relative:page;" filled="f" stroked="f" coordsize="21600,21600" o:gfxdata="UEsDBAoAAAAAAIdO4kAAAAAAAAAAAAAAAAAEAAAAZHJzL1BLAwQUAAAACACHTuJA6rguEtAAAAAD&#10;AQAADwAAAGRycy9kb3ducmV2LnhtbE2PwU7DMBBE70j9B2srcaN2K0RLiNNDJS7cKAiJmxtv4wh7&#10;Hdlumvw9Cxe4jDSa1czbej8FL0ZMuY+kYb1SIJDaaHvqNLy/Pd/tQORiyBofCTXMmGHfLG5qU9l4&#10;pVccj6UTXEK5MhpcKUMlZW4dBpNXcUDi7BxTMIVt6qRN5srlwcuNUg8ymJ54wZkBDw7br+MlaNhO&#10;HxGHjAf8PI9tcv288y+z1rfLtXoCUXAqf8fwg8/o0DDTKV7IZuE18CPlVzm7f2R30rBRW5BNLf+z&#10;N99QSwMEFAAAAAgAh07iQFw0z13UAQAAqAMAAA4AAABkcnMvZTJvRG9jLnhtbK1TzY7TMBC+I+07&#10;WL5vU7ddhKKmK1C1CAkB0sIDuI7TWPKfPG6TvgC8AScu3HmuPgdjJ+n+cNkDF2c8M/5mvm8m69ve&#10;aHKUAZSzFWWzOSXSClcru6/ot693128ogchtzbWzsqInCfR2c/Vq3flSLlzrdC0DQRALZecr2sbo&#10;y6IA0UrDYea8tBhsXDA84jXsizrwDtGNLhbz+euic6H2wQkJgN7tEKQjYngJoGsaJeTWiYORNg6o&#10;QWoekRK0ygPd5G6bRor4uWlARqIrikxjPrEI2rt0Fps1L/eB+1aJsQX+khaecTJcWSx6gdryyMkh&#10;qH+gjBLBgWviTDhTDESyIsiCzZ9pc99yLzMXlBr8RXT4f7Di0/FLIKrGTVisKLHc4MjPP3+cf/05&#10;//5O2DIp1HkoMfHeY2rs37kesyc/oDMR75tg0hcpEYyjvqeLvrKPRKBzyRi7wYjAEFuy1eomoRQP&#10;j32A+F46Q5JR0YDjy6ry40eIQ+qUkmpZd6e0ziPU9okDMQePzDswvk48hn6TFftdP5LbufqE3Drc&#10;g4paXHtK9AeLMqeVmYwwGbvJOPig9i02ynKX4N8eIraUO00VBlhkmC44wMx1XLa0IY/vOevhB9v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q4LhLQAAAAAwEAAA8AAAAAAAAAAQAgAAAAIgAAAGRy&#10;cy9kb3ducmV2LnhtbFBLAQIUABQAAAAIAIdO4kBcNM9d1AEAAKgDAAAOAAAAAAAAAAEAIAAAAB8B&#10;AABkcnMvZTJvRG9jLnhtbFBLBQYAAAAABgAGAFkBAABlBQAAAAA=&#10;">
              <v:fill on="f" focussize="0,0"/>
              <v:stroke on="f"/>
              <v:imagedata o:title=""/>
              <o:lock v:ext="edit" aspectratio="f"/>
              <v:textbox inset="0mm,0mm,0mm,0mm" style="mso-fit-shape-to-text:t;">
                <w:txbxContent>
                  <w:p>
                    <w:pPr>
                      <w:ind w:firstLine="0" w:firstLineChars="0"/>
                    </w:pP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311150" cy="131445"/>
              <wp:effectExtent l="0" t="0" r="0" b="0"/>
              <wp:wrapNone/>
              <wp:docPr id="118" name="文本框 13"/>
              <wp:cNvGraphicFramePr/>
              <a:graphic xmlns:a="http://schemas.openxmlformats.org/drawingml/2006/main">
                <a:graphicData uri="http://schemas.microsoft.com/office/word/2010/wordprocessingShape">
                  <wps:wsp>
                    <wps:cNvSpPr txBox="1"/>
                    <wps:spPr>
                      <a:xfrm>
                        <a:off x="0" y="0"/>
                        <a:ext cx="311150" cy="131445"/>
                      </a:xfrm>
                      <a:prstGeom prst="rect">
                        <a:avLst/>
                      </a:prstGeom>
                      <a:noFill/>
                      <a:ln>
                        <a:noFill/>
                      </a:ln>
                      <a:effectLst/>
                    </wps:spPr>
                    <wps:txbx>
                      <w:txbxContent>
                        <w:p>
                          <w:pPr>
                            <w:ind w:firstLine="0" w:firstLineChars="0"/>
                          </w:pP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0.35pt;width:24.5pt;mso-position-horizontal:center;mso-position-horizontal-relative:margin;mso-wrap-style:none;z-index:251704320;mso-width-relative:page;mso-height-relative:page;" filled="f" stroked="f" coordsize="21600,21600" o:gfxdata="UEsDBAoAAAAAAIdO4kAAAAAAAAAAAAAAAAAEAAAAZHJzL1BLAwQUAAAACACHTuJA6rguEtAAAAAD&#10;AQAADwAAAGRycy9kb3ducmV2LnhtbE2PwU7DMBBE70j9B2srcaN2K0RLiNNDJS7cKAiJmxtv4wh7&#10;Hdlumvw9Cxe4jDSa1czbej8FL0ZMuY+kYb1SIJDaaHvqNLy/Pd/tQORiyBofCTXMmGHfLG5qU9l4&#10;pVccj6UTXEK5MhpcKUMlZW4dBpNXcUDi7BxTMIVt6qRN5srlwcuNUg8ymJ54wZkBDw7br+MlaNhO&#10;HxGHjAf8PI9tcv288y+z1rfLtXoCUXAqf8fwg8/o0DDTKV7IZuE18CPlVzm7f2R30rBRW5BNLf+z&#10;N99QSwMEFAAAAAgAh07iQJTFdI/TAQAAqAMAAA4AAABkcnMvZTJvRG9jLnhtbK1TzY7TMBC+I/EO&#10;lu809XYXoajpClQtQkKAtPAArmM3lvwnj9ukLwBvwIkLd56rz8HYSbqwXPbAxRnPjL+Z75vJ+naw&#10;hhxlBO1dQ9liSYl0wrfa7Rv65fPdi1eUQOKu5cY72dCTBHq7ef5s3YdaXvnOm1ZGgiAO6j40tEsp&#10;1FUFopOWw8IH6TCofLQ84TXuqzbyHtGtqa6Wy5dV72MbohcSAL3bMUgnxPgUQK+UFnLrxcFKl0bU&#10;KA1PSAk6HYBuSrdKSZE+KgUyEdNQZJrKiUXQ3uWz2qx5vY88dFpMLfCntPCIk+XaYdEL1JYnTg5R&#10;/wNltYgevEoL4W01EimKIAu2fKTNfceDLFxQaggX0eH/wYoPx0+R6BY3geHgHbc48vP3b+cfv84/&#10;vxK2ygr1AWpMvA+YmoY3fsDs2Q/ozMQHFW3+IiWCcdT3dNFXDokIdK4YYzcYERhiK3Z9fZNRqofH&#10;IUJ6K70l2WhoxPEVVfnxPaQxdU7JtZy/08aUERr3lwMxR48sOzC9zjzGfrOVht0wkdv59oTcetyD&#10;hjpce0rMO4cy55WZjTgbu9k4hKj3HTbKSpcQXh8StlQ6zRVGWGSYLzjAwnVatrwhf95L1sMPtv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6rguEtAAAAADAQAADwAAAAAAAAABACAAAAAiAAAAZHJz&#10;L2Rvd25yZXYueG1sUEsBAhQAFAAAAAgAh07iQJTFdI/TAQAAqAMAAA4AAAAAAAAAAQAgAAAAHwEA&#10;AGRycy9lMm9Eb2MueG1sUEsFBgAAAAAGAAYAWQEAAGQFAAAAAA==&#10;">
              <v:fill on="f" focussize="0,0"/>
              <v:stroke on="f"/>
              <v:imagedata o:title=""/>
              <o:lock v:ext="edit" aspectratio="f"/>
              <v:textbox inset="0mm,0mm,0mm,0mm" style="mso-fit-shape-to-text:t;">
                <w:txbxContent>
                  <w:p>
                    <w:pPr>
                      <w:ind w:firstLine="0" w:firstLineChars="0"/>
                    </w:pP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w:rPr>
        <w:sz w:val="18"/>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ind w:left="0" w:leftChars="0" w:firstLine="0" w:firstLineChars="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2Lu/Y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i7v2NAIAAGUEAAAOAAAAAAAAAAEAIAAAAB8BAABkcnMvZTJvRG9jLnhtbFBL&#10;BQYAAAAABgAGAFkBAADFBQAAAAA=&#10;">
              <v:fill on="f" focussize="0,0"/>
              <v:stroke on="f" weight="0.5pt"/>
              <v:imagedata o:title=""/>
              <o:lock v:ext="edit" aspectratio="f"/>
              <v:textbox inset="0mm,0mm,0mm,0mm" style="mso-fit-shape-to-text:t;">
                <w:txbxContent>
                  <w:p>
                    <w:pPr>
                      <w:pStyle w:val="24"/>
                      <w:ind w:left="0" w:leftChars="0" w:firstLine="0" w:firstLineChars="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w:rPr>
        <w:sz w:val="18"/>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tg+E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a2D4TICAABlBAAADgAAAAAAAAABACAAAAAfAQAAZHJzL2Uyb0RvYy54bWxQSwUG&#10;AAAAAAYABgBZAQAAwwUAAAAA&#10;">
              <v:fill on="f" focussize="0,0"/>
              <v:stroke on="f" weight="0.5pt"/>
              <v:imagedata o:title=""/>
              <o:lock v:ext="edit" aspectratio="f"/>
              <v:textbox inset="0mm,0mm,0mm,0mm" style="mso-fit-shape-to-text:t;">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311150" cy="131445"/>
              <wp:effectExtent l="0" t="0" r="0" b="0"/>
              <wp:wrapNone/>
              <wp:docPr id="121" name="文本框 13"/>
              <wp:cNvGraphicFramePr/>
              <a:graphic xmlns:a="http://schemas.openxmlformats.org/drawingml/2006/main">
                <a:graphicData uri="http://schemas.microsoft.com/office/word/2010/wordprocessingShape">
                  <wps:wsp>
                    <wps:cNvSpPr txBox="1"/>
                    <wps:spPr>
                      <a:xfrm>
                        <a:off x="0" y="0"/>
                        <a:ext cx="311150" cy="131445"/>
                      </a:xfrm>
                      <a:prstGeom prst="rect">
                        <a:avLst/>
                      </a:prstGeom>
                      <a:noFill/>
                      <a:ln>
                        <a:noFill/>
                      </a:ln>
                      <a:effectLst/>
                    </wps:spPr>
                    <wps:txbx>
                      <w:txbxContent>
                        <w:p>
                          <w:pPr>
                            <w:ind w:firstLine="0" w:firstLineChars="0"/>
                          </w:pP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0.35pt;width:24.5pt;mso-position-horizontal:center;mso-position-horizontal-relative:margin;mso-wrap-style:none;z-index:251706368;mso-width-relative:page;mso-height-relative:page;" filled="f" stroked="f" coordsize="21600,21600" o:gfxdata="UEsDBAoAAAAAAIdO4kAAAAAAAAAAAAAAAAAEAAAAZHJzL1BLAwQUAAAACACHTuJA6rguEtAAAAAD&#10;AQAADwAAAGRycy9kb3ducmV2LnhtbE2PwU7DMBBE70j9B2srcaN2K0RLiNNDJS7cKAiJmxtv4wh7&#10;Hdlumvw9Cxe4jDSa1czbej8FL0ZMuY+kYb1SIJDaaHvqNLy/Pd/tQORiyBofCTXMmGHfLG5qU9l4&#10;pVccj6UTXEK5MhpcKUMlZW4dBpNXcUDi7BxTMIVt6qRN5srlwcuNUg8ymJ54wZkBDw7br+MlaNhO&#10;HxGHjAf8PI9tcv288y+z1rfLtXoCUXAqf8fwg8/o0DDTKV7IZuE18CPlVzm7f2R30rBRW5BNLf+z&#10;N99QSwMEFAAAAAgAh07iQOxhPkTUAQAAqAMAAA4AAABkcnMvZTJvRG9jLnhtbK1TS27bMBDdF+gd&#10;CO5rmXZSFILloIWRokDRBkh7AJqiLAL8gUNb8gXaG3TVTfY5l8+RISU5bbLJIhtqODN8M+/NaHXV&#10;G00OMoBytqJsNqdEWuFqZXcV/fnj+t0HSiByW3PtrKzoUQK9Wr99s+p8KReudbqWgSCIhbLzFW1j&#10;9GVRgGil4TBzXloMNi4YHvEadkUdeIfoRheL+fx90blQ++CEBEDvZgjSETG8BNA1jRJy48TeSBsH&#10;1CA1j0gJWuWBrnO3TSNF/N40ICPRFUWmMZ9YBO1tOov1ipe7wH2rxNgCf0kLTzgZriwWPUNteORk&#10;H9QzKKNEcOCaOBPOFAORrAiyYPMn2ty23MvMBaUGfxYdXg9WfDvcBKJq3IQFo8RygyM//fl9+nt/&#10;uvtF2DIp1HkoMfHWY2rsP7kesyc/oDMR75tg0hcpEYyjvsezvrKPRKBzyRi7xIjAEFuyi4vLhFI8&#10;PvYB4mfpDElGRQOOL6vKD18hDqlTSqpl3bXSOo9Q2/8ciDl4ZN6B8XXiMfSbrNhv+5Hc1tVH5Nbh&#10;HlTU4tpTor9YlDmtzGSEydhOxt4HtWuxUZa7BP9xH7Gl3GmqMMAiw3TBAWau47KlDfn3nrMef7D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q4LhLQAAAAAwEAAA8AAAAAAAAAAQAgAAAAIgAAAGRy&#10;cy9kb3ducmV2LnhtbFBLAQIUABQAAAAIAIdO4kDsYT5E1AEAAKgDAAAOAAAAAAAAAAEAIAAAAB8B&#10;AABkcnMvZTJvRG9jLnhtbFBLBQYAAAAABgAGAFkBAABlBQAAAAA=&#10;">
              <v:fill on="f" focussize="0,0"/>
              <v:stroke on="f"/>
              <v:imagedata o:title=""/>
              <o:lock v:ext="edit" aspectratio="f"/>
              <v:textbox inset="0mm,0mm,0mm,0mm" style="mso-fit-shape-to-text:t;">
                <w:txbxContent>
                  <w:p>
                    <w:pPr>
                      <w:ind w:firstLine="0" w:firstLineChars="0"/>
                    </w:pP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teHZ4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teHZ4zAgAAYwQAAA4AAAAAAAAAAQAgAAAAHwEAAGRycy9lMm9Eb2MueG1sUEsF&#10;BgAAAAAGAAYAWQEAAMQFAAAAAA==&#10;">
              <v:fill on="f" focussize="0,0"/>
              <v:stroke on="f" weight="0.5pt"/>
              <v:imagedata o:title=""/>
              <o:lock v:ext="edit" aspectratio="f"/>
              <v:textbox inset="0mm,0mm,0mm,0mm" style="mso-fit-shape-to-text:t;">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VII</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349250" cy="131445"/>
              <wp:effectExtent l="0" t="0" r="0" b="0"/>
              <wp:wrapNone/>
              <wp:docPr id="87" name="文本框 17"/>
              <wp:cNvGraphicFramePr/>
              <a:graphic xmlns:a="http://schemas.openxmlformats.org/drawingml/2006/main">
                <a:graphicData uri="http://schemas.microsoft.com/office/word/2010/wordprocessingShape">
                  <wps:wsp>
                    <wps:cNvSpPr txBox="1"/>
                    <wps:spPr>
                      <a:xfrm>
                        <a:off x="0" y="0"/>
                        <a:ext cx="349250" cy="131445"/>
                      </a:xfrm>
                      <a:prstGeom prst="rect">
                        <a:avLst/>
                      </a:prstGeom>
                      <a:noFill/>
                      <a:ln>
                        <a:noFill/>
                      </a:ln>
                      <a:effectLst/>
                    </wps:spPr>
                    <wps:txbx>
                      <w:txbxContent>
                        <w:p>
                          <w:pPr>
                            <w:pStyle w:val="24"/>
                            <w:ind w:firstLine="360"/>
                          </w:pPr>
                        </w:p>
                      </w:txbxContent>
                    </wps:txbx>
                    <wps:bodyPr wrap="none" lIns="0" tIns="0" rIns="0" bIns="0" upright="1">
                      <a:spAutoFit/>
                    </wps:bodyPr>
                  </wps:wsp>
                </a:graphicData>
              </a:graphic>
            </wp:anchor>
          </w:drawing>
        </mc:Choice>
        <mc:Fallback>
          <w:pict>
            <v:shape id="文本框 17" o:spid="_x0000_s1026" o:spt="202" type="#_x0000_t202" style="position:absolute;left:0pt;margin-top:0pt;height:10.35pt;width:27.5pt;mso-position-horizontal:center;mso-position-horizontal-relative:margin;mso-wrap-style:none;z-index:251662336;mso-width-relative:page;mso-height-relative:page;" filled="f" stroked="f" coordsize="21600,21600" o:gfxdata="UEsDBAoAAAAAAIdO4kAAAAAAAAAAAAAAAAAEAAAAZHJzL1BLAwQUAAAACACHTuJAUn1RetAAAAAD&#10;AQAADwAAAGRycy9kb3ducmV2LnhtbE2PwWrDMBBE74X8g9hAb42UQJrgWs4h0EtvTUuhN8XaWKbS&#10;ykiKY/99t720l4Fhlpm39WEKXoyYch9Jw3qlQCC10fbUaXh/e37Yg8jFkDU+EmqYMcOhWdzVprLx&#10;Rq84nkonuIRyZTS4UoZKytw6DCav4oDE2SWmYArb1EmbzI3Lg5cbpR5lMD3xgjMDHh22X6dr0LCb&#10;PiIOGY/4eRnb5Pp5719mre+Xa/UEouBU/o7hB5/RoWGmc7ySzcJr4EfKr3K23bI7a9ioHcimlv/Z&#10;m29QSwMEFAAAAAgAh07iQGFOztbVAQAApwMAAA4AAABkcnMvZTJvRG9jLnhtbK1TzY7TMBC+I/EO&#10;lu80TbfL7kZNV6BqERICpIUHcB27seQ/edwmfQF4A05cuPNcfQ7GTtJdlsseuDjjmfE3830zWd32&#10;RpODCKCcrWk5m1MiLHeNsruafv1y9+qaEojMNkw7K2p6FEBv1y9frDpfiYVrnW5EIAhioep8TdsY&#10;fVUUwFthGMycFxaD0gXDIl7DrmgC6xDd6GIxn78uOhcaHxwXAOjdDEE6IobnADopFRcbx/dG2Dig&#10;BqFZRErQKg90nbuVUvD4SUoQkeiaItOYTyyC9jadxXrFql1gvlV8bIE9p4UnnAxTFoueoTYsMrIP&#10;6h8oo3hw4GSccWeKgUhWBFmU8yfa3LfMi8wFpQZ/Fh3+Hyz/ePgciGpqen1FiWUGJ3768f308/fp&#10;1zdSXiWBOg8V5t17zIz9W9fj2kx+QGfi3ctg0hcZEYyjvMezvKKPhKPzYnmzuMQIx1B5US6Xlwml&#10;eHjsA8R3whmSjJoGnF4WlR0+QBxSp5RUy7o7pXWeoLZ/ORBz8Ii8AuPrxGPoN1mx3/Yjua1rjsit&#10;wzWoqcWtp0S/t6hy2pjJCJOxnYy9D2rXYqNl7hL8m33ElnKnqcIAiwzTBeeXuY67lhbk8T1nPfxf&#10;6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SfVF60AAAAAMBAAAPAAAAAAAAAAEAIAAAACIAAABk&#10;cnMvZG93bnJldi54bWxQSwECFAAUAAAACACHTuJAYU7O1tUBAACnAwAADgAAAAAAAAABACAAAAAf&#10;AQAAZHJzL2Uyb0RvYy54bWxQSwUGAAAAAAYABgBZAQAAZgUAAAAA&#10;">
              <v:fill on="f" focussize="0,0"/>
              <v:stroke on="f"/>
              <v:imagedata o:title=""/>
              <o:lock v:ext="edit" aspectratio="f"/>
              <v:textbox inset="0mm,0mm,0mm,0mm" style="mso-fit-shape-to-text:t;">
                <w:txbxContent>
                  <w:p>
                    <w:pPr>
                      <w:pStyle w:val="24"/>
                      <w:ind w:firstLine="360"/>
                    </w:pP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rPr>
        <w:rFonts w:cs="Times New Roman"/>
      </w:rPr>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VIII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2inEzAgAAYw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n2inEzAgAAYwQAAA4AAAAAAAAAAQAgAAAAHwEAAGRycy9lMm9Eb2MueG1sUEsF&#10;BgAAAAAGAAYAWQEAAMQFAAAAAA==&#10;">
              <v:fill on="f" focussize="0,0"/>
              <v:stroke on="f" weight="0.5pt"/>
              <v:imagedata o:title=""/>
              <o:lock v:ext="edit" aspectratio="f"/>
              <v:textbox inset="0mm,0mm,0mm,0mm" style="mso-fit-shape-to-text:t;">
                <w:txbxContent>
                  <w:p>
                    <w:pPr>
                      <w:pStyle w:val="2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VIII</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387350" cy="131445"/>
              <wp:effectExtent l="0" t="0" r="0" b="0"/>
              <wp:wrapNone/>
              <wp:docPr id="90" name="文本框 16"/>
              <wp:cNvGraphicFramePr/>
              <a:graphic xmlns:a="http://schemas.openxmlformats.org/drawingml/2006/main">
                <a:graphicData uri="http://schemas.microsoft.com/office/word/2010/wordprocessingShape">
                  <wps:wsp>
                    <wps:cNvSpPr txBox="1"/>
                    <wps:spPr>
                      <a:xfrm>
                        <a:off x="0" y="0"/>
                        <a:ext cx="387350" cy="131445"/>
                      </a:xfrm>
                      <a:prstGeom prst="rect">
                        <a:avLst/>
                      </a:prstGeom>
                      <a:noFill/>
                      <a:ln>
                        <a:noFill/>
                      </a:ln>
                      <a:effectLst/>
                    </wps:spPr>
                    <wps:txbx>
                      <w:txbxContent>
                        <w:p>
                          <w:pPr>
                            <w:pStyle w:val="24"/>
                            <w:ind w:firstLine="360"/>
                            <w:jc w:val="center"/>
                          </w:pPr>
                        </w:p>
                      </w:txbxContent>
                    </wps:txbx>
                    <wps:bodyPr wrap="none" lIns="0" tIns="0" rIns="0" bIns="0" upright="1">
                      <a:spAutoFit/>
                    </wps:bodyPr>
                  </wps:wsp>
                </a:graphicData>
              </a:graphic>
            </wp:anchor>
          </w:drawing>
        </mc:Choice>
        <mc:Fallback>
          <w:pict>
            <v:shape id="文本框 16" o:spid="_x0000_s1026" o:spt="202" type="#_x0000_t202" style="position:absolute;left:0pt;margin-top:0pt;height:10.35pt;width:30.5pt;mso-position-horizontal:center;mso-position-horizontal-relative:margin;mso-wrap-style:none;z-index:251665408;mso-width-relative:page;mso-height-relative:page;" filled="f" stroked="f" coordsize="21600,21600" o:gfxdata="UEsDBAoAAAAAAIdO4kAAAAAAAAAAAAAAAAAEAAAAZHJzL1BLAwQUAAAACACHTuJASuKO2dAAAAAD&#10;AQAADwAAAGRycy9kb3ducmV2LnhtbE2PMU/DMBCFdyT+g3VIbNROh7ZK43SoxMJGQUhsbnyNI+xz&#10;ZLtp8u85WGB50tM7vfddc5iDFxOmPETSUK0UCKQu2oF6De9vz087ELkYssZHQg0LZji093eNqW28&#10;0StOp9ILLqFcGw2ulLGWMncOg8mrOCJxdokpmMI29dImc+Py4OVaqY0MZiBecGbEo8Pu63QNGrbz&#10;R8Qx4xE/L1OX3LDs/Mui9eNDpfYgCs7l7xh+8BkdWmY6xyvZLLwGfqT8Kmebit1Zw1ptQbaN/M/e&#10;fgNQSwMEFAAAAAgAh07iQFCh3fLVAQAApwMAAA4AAABkcnMvZTJvRG9jLnhtbK1TS27bMBDdF+gd&#10;CO5rWXGSpoLloIGRoEDRFkhyAJoiLQL8gUNb8gXaG3TVTfc9l8/RISU5bbrJohtqODN8fO9xtLzu&#10;jSZ7EUA5W9NyNqdEWO4aZbc1fXy4fXNFCURmG6adFTU9CKDXq9evlp2vxJlrnW5EIAhioep8TdsY&#10;fVUUwFthGMycFxaL0gXDIm7DtmgC6xDd6OJsPr8sOhcaHxwXAJhdD0U6IoaXADopFRdrx3dG2Dig&#10;BqFZREnQKg90ldlKKXj8LCWISHRNUWnMK16C8SatxWrJqm1gvlV8pMBeQuGZJsOUxUtPUGsWGdkF&#10;9Q+UUTw4cDLOuDPFICQ7girK+TNv7lvmRdaCVoM/mQ7/D5Z/2n8JRDU1fYeWWGbwxY/fvx1//Dr+&#10;/ErKy2RQ56HCvnuPnbG/cT2OzZQHTCbdvQwmfVERwTpiHU72ij4SjsnF1dvFBVY4lspFeX5+kVCK&#10;p8M+QLwTzpAU1DTg62VT2f4jxKF1akl3WXertM4vqO1fCcQcMiKPwHg66Rj4pij2m34Ut3HNAbV1&#10;OAY1tTj1lOgPFl1GsnEKwhRspmDng9q2SLTMLMG/30WklJmmGwZYVJg2+H5Z6zhraUD+3Oeup/9r&#10;9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K4o7Z0AAAAAMBAAAPAAAAAAAAAAEAIAAAACIAAABk&#10;cnMvZG93bnJldi54bWxQSwECFAAUAAAACACHTuJAUKHd8tUBAACnAwAADgAAAAAAAAABACAAAAAf&#10;AQAAZHJzL2Uyb0RvYy54bWxQSwUGAAAAAAYABgBZAQAAZgUAAAAA&#10;">
              <v:fill on="f" focussize="0,0"/>
              <v:stroke on="f"/>
              <v:imagedata o:title=""/>
              <o:lock v:ext="edit" aspectratio="f"/>
              <v:textbox inset="0mm,0mm,0mm,0mm" style="mso-fit-shape-to-text:t;">
                <w:txbxContent>
                  <w:p>
                    <w:pPr>
                      <w:pStyle w:val="24"/>
                      <w:ind w:firstLine="360"/>
                      <w:jc w:val="center"/>
                    </w:pPr>
                  </w:p>
                </w:txbxContent>
              </v:textbox>
            </v:shape>
          </w:pict>
        </mc:Fallback>
      </mc:AlternateContent>
    </w:r>
  </w:p>
  <w:p>
    <w:pPr>
      <w:pStyle w:val="24"/>
      <w:ind w:firstLine="360"/>
      <w:jc w:val="righ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12065</wp:posOffset>
              </wp:positionV>
              <wp:extent cx="389890" cy="125095"/>
              <wp:effectExtent l="0" t="0" r="0" b="0"/>
              <wp:wrapNone/>
              <wp:docPr id="89" name="文本框 19"/>
              <wp:cNvGraphicFramePr/>
              <a:graphic xmlns:a="http://schemas.openxmlformats.org/drawingml/2006/main">
                <a:graphicData uri="http://schemas.microsoft.com/office/word/2010/wordprocessingShape">
                  <wps:wsp>
                    <wps:cNvSpPr txBox="1"/>
                    <wps:spPr>
                      <a:xfrm>
                        <a:off x="0" y="0"/>
                        <a:ext cx="389890" cy="125095"/>
                      </a:xfrm>
                      <a:prstGeom prst="rect">
                        <a:avLst/>
                      </a:prstGeom>
                      <a:noFill/>
                      <a:ln>
                        <a:noFill/>
                      </a:ln>
                      <a:effectLst/>
                    </wps:spPr>
                    <wps:txbx>
                      <w:txbxContent>
                        <w:p>
                          <w:pPr>
                            <w:pStyle w:val="24"/>
                            <w:ind w:firstLine="360"/>
                          </w:pPr>
                          <w:r>
                            <w:fldChar w:fldCharType="begin"/>
                          </w:r>
                          <w:r>
                            <w:instrText xml:space="preserve"> PAGE  \* MERGEFORMAT </w:instrText>
                          </w:r>
                          <w:r>
                            <w:fldChar w:fldCharType="separate"/>
                          </w:r>
                          <w:r>
                            <w:t>3</w:t>
                          </w:r>
                          <w:r>
                            <w:fldChar w:fldCharType="end"/>
                          </w:r>
                        </w:p>
                      </w:txbxContent>
                    </wps:txbx>
                    <wps:bodyPr lIns="0" tIns="0" rIns="0" bIns="0" upright="1"/>
                  </wps:wsp>
                </a:graphicData>
              </a:graphic>
            </wp:anchor>
          </w:drawing>
        </mc:Choice>
        <mc:Fallback>
          <w:pict>
            <v:shape id="文本框 19" o:spid="_x0000_s1026" o:spt="202" type="#_x0000_t202" style="position:absolute;left:0pt;margin-top:0.95pt;height:9.85pt;width:30.7pt;mso-position-horizontal:center;mso-position-horizontal-relative:margin;z-index:251664384;mso-width-relative:page;mso-height-relative:page;" filled="f" stroked="f" coordsize="21600,21600" o:gfxdata="UEsDBAoAAAAAAIdO4kAAAAAAAAAAAAAAAAAEAAAAZHJzL1BLAwQUAAAACACHTuJArCc7p9QAAAAE&#10;AQAADwAAAGRycy9kb3ducmV2LnhtbE2PzU7DMBCE70i8g7WVuFE7FYpoiFNVCE5IiDQ9cHTibWI1&#10;XofY/eHtWU5w3JnRzLfl5upHccY5ukAasqUCgdQF66jXsG9e7x9BxGTImjEQavjGCJvq9qY0hQ0X&#10;qvG8S73gEoqF0TCkNBVSxm5Ab+IyTEjsHcLsTeJz7qWdzYXL/ShXSuXSG0e8MJgJnwfsjruT17D9&#10;pPrFfb23H/Whdk2zVvSWH7W+W2TqCUTCa/oLwy8+o0PFTG04kY1i1MCPJFbXINjMswcQrYZVloOs&#10;SvkfvvoBUEsDBBQAAAAIAIdO4kBACUV1vwEAAIEDAAAOAAAAZHJzL2Uyb0RvYy54bWytU82O0zAQ&#10;viPxDpbv1GnRoiZquhKqFiEhQFr2AVxn0ljyn2y3SV8A3oATF+48V5+DsZOUZbnsgYsznhl/M983&#10;k83toBU5gQ/SmpouFwUlYIRtpDnU9OHL3as1JSFy03BlDdT0DIHebl++2PSugpXtrGrAEwQxoepd&#10;TbsYXcVYEB1oHhbWgcFga73mEa/+wBrPe0TXiq2K4g3rrW+ctwJCQO9uDNIJ0T8H0LatFLCz4qjB&#10;xBHVg+IRKYVOukC3udu2BRE/tW2ASFRNkWnMJxZBe59Ott3w6uC566SYWuDPaeEJJ82lwaJXqB2P&#10;nBy9/AdKS+FtsG1cCKvZSCQrgiyWxRNt7jvuIHNBqYO7ih7+H6z4ePrsiWxqui4pMVzjxC/fv11+&#10;/Lr8/EqWZRKod6HCvHuHmXF4awdcm9kf0Jl4D63X6YuMCMZR3vNVXhgiEeh8vS7XJUYEhparm6K8&#10;SSjsz2PnQ3wHVpNk1NTj9LKo/PQhxDF1Tkm1jL2TSuUJKvOXAzFHD+QVmF4nHmO/yYrDfpjI7W1z&#10;Rm7qvUFl05bMhp+N/WwcnZeHDpvLCrAEhJPJLKYtSqN/fEf78Z+z/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sJzun1AAAAAQBAAAPAAAAAAAAAAEAIAAAACIAAABkcnMvZG93bnJldi54bWxQSwEC&#10;FAAUAAAACACHTuJAQAlFdb8BAACBAwAADgAAAAAAAAABACAAAAAjAQAAZHJzL2Uyb0RvYy54bWxQ&#10;SwUGAAAAAAYABgBZAQAAVAUAAAAA&#10;">
              <v:fill on="f" focussize="0,0"/>
              <v:stroke on="f"/>
              <v:imagedata o:title=""/>
              <o:lock v:ext="edit" aspectratio="f"/>
              <v:textbox inset="0mm,0mm,0mm,0mm">
                <w:txbxContent>
                  <w:p>
                    <w:pPr>
                      <w:pStyle w:val="24"/>
                      <w:ind w:firstLine="360"/>
                    </w:pPr>
                    <w:r>
                      <w:fldChar w:fldCharType="begin"/>
                    </w:r>
                    <w:r>
                      <w:instrText xml:space="preserve"> PAGE  \* MERGEFORMAT </w:instrText>
                    </w:r>
                    <w:r>
                      <w:fldChar w:fldCharType="separate"/>
                    </w:r>
                    <w:r>
                      <w:t>3</w:t>
                    </w:r>
                    <w:r>
                      <w:fldChar w:fldCharType="end"/>
                    </w:r>
                  </w:p>
                </w:txbxContent>
              </v:textbox>
            </v:shape>
          </w:pict>
        </mc:Fallback>
      </mc:AlternateContent>
    </w:r>
  </w:p>
  <w:p>
    <w:pPr>
      <w:pStyle w:val="24"/>
      <w:ind w:firstLine="0" w:firstLineChars="0"/>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jc w:val="right"/>
      <w:rPr>
        <w:rFonts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12065</wp:posOffset>
              </wp:positionV>
              <wp:extent cx="114935" cy="131445"/>
              <wp:effectExtent l="0" t="0" r="0" b="0"/>
              <wp:wrapNone/>
              <wp:docPr id="91" name="文本框 3"/>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pPr>
                            <w:pStyle w:val="24"/>
                            <w:ind w:firstLine="0" w:firstLineChars="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95pt;height:10.35pt;width:9.05pt;mso-position-horizontal:center;mso-position-horizontal-relative:margin;mso-wrap-style:none;z-index:251666432;mso-width-relative:page;mso-height-relative:page;" filled="f" stroked="f" coordsize="21600,21600" o:gfxdata="UEsDBAoAAAAAAIdO4kAAAAAAAAAAAAAAAAAEAAAAZHJzL1BLAwQUAAAACACHTuJAtv7xz9AAAAAE&#10;AQAADwAAAGRycy9kb3ducmV2LnhtbE2PMU/DMBCFdyT+g3VIbNRJhpKGOB0qsbBREBLbNb7GEfY5&#10;st00+fe4E4z33tN737X7xVkxU4ijZwXlpgBB3Hs98qDg8+P1qQYRE7JG65kUrBRh393ftdhof+V3&#10;mo9pELmEY4MKTEpTI2XsDTmMGz8RZ+/sg8OUzzBIHfCay52VVVFspcOR84LBiQ6G+p/jxSl4Xr48&#10;TZEO9H2e+2DGtbZvq1KPD2XxAiLRkv7CcMPP6NBlppO/sI7CKsiPpKzuQNzMugRxUlBVW5BdK//D&#10;d79QSwMEFAAAAAgAh07iQGDetcPUAQAApgMAAA4AAABkcnMvZTJvRG9jLnhtbK1TzY7TMBC+I/EO&#10;lu80zbaL2KjpClQtQkKwUuEBXMduLPlPHrdJXwDegBMX7vtcfQ7GTtKF5bIHLs54ZvzNfN9MVre9&#10;0eQoAihna1rO5pQIy12j7L6mX7/cvXpDCURmG6adFTU9CaC365cvVp2vxJVrnW5EIAhioep8TdsY&#10;fVUUwFthGMycFxaD0gXDIl7DvmgC6xDd6OJqPn9ddC40PjguANC7GYJ0RAzPAXRSKi42jh+MsHFA&#10;DUKziJSgVR7oOncrpeDxs5QgItE1RaYxn1gE7V06i/WKVfvAfKv42AJ7TgtPOBmmLBa9QG1YZOQQ&#10;1D9QRvHgwMk4484UA5GsCLIo50+02bbMi8wFpQZ/ER3+Hyz/dLwPRDU1vSkpsczgxM8/vp9/Ppx/&#10;fSOLpE/nocK0rcfE2L9zPW7N5Ad0Jtq9DCZ9kRDBOKp7uqgr+kh4elQubxbXlHAMlYtyubxOKMXj&#10;Yx8gvhfOkGTUNODwsqbs+BHikDqlpFrW3Smt8wC1/cuBmINH5A0YXyceQ7/Jiv2uH8ntXHNCbh1u&#10;QU0tLj0l+oNFkdPCTEaYjN1kHHxQ+xYbLXOX4N8eIraUO00VBlhkmC44vsx1XLW0H3/ec9bj77X+&#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b+8c/QAAAABAEAAA8AAAAAAAAAAQAgAAAAIgAAAGRy&#10;cy9kb3ducmV2LnhtbFBLAQIUABQAAAAIAIdO4kBg3rXD1AEAAKYDAAAOAAAAAAAAAAEAIAAAAB8B&#10;AABkcnMvZTJvRG9jLnhtbFBLBQYAAAAABgAGAFkBAABlBQAAAAA=&#10;">
              <v:fill on="f" focussize="0,0"/>
              <v:stroke on="f"/>
              <v:imagedata o:title=""/>
              <o:lock v:ext="edit" aspectratio="f"/>
              <v:textbox inset="0mm,0mm,0mm,0mm" style="mso-fit-shape-to-text:t;">
                <w:txbxContent>
                  <w:p>
                    <w:pPr>
                      <w:pStyle w:val="24"/>
                      <w:ind w:firstLine="0" w:firstLineChars="0"/>
                    </w:pPr>
                    <w:r>
                      <w:fldChar w:fldCharType="begin"/>
                    </w:r>
                    <w:r>
                      <w:instrText xml:space="preserve"> PAGE  \* MERGEFORMAT </w:instrText>
                    </w:r>
                    <w:r>
                      <w:fldChar w:fldCharType="separate"/>
                    </w:r>
                    <w:r>
                      <w:t>2</w:t>
                    </w:r>
                    <w:r>
                      <w:fldChar w:fldCharType="end"/>
                    </w:r>
                  </w:p>
                </w:txbxContent>
              </v:textbox>
            </v:shape>
          </w:pict>
        </mc:Fallback>
      </mc:AlternateContent>
    </w:r>
  </w:p>
  <w:p>
    <w:pPr>
      <w:pStyle w:val="24"/>
      <w:ind w:firstLine="360"/>
      <w:jc w:val="right"/>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rPr>
        <w:rFonts w:cs="Times New Roman"/>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12065</wp:posOffset>
              </wp:positionV>
              <wp:extent cx="1828800" cy="182880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ind w:firstLine="0" w:firstLineChars="0"/>
                          </w:pPr>
                          <w:r>
                            <w:rPr>
                              <w:rFonts w:hint="eastAsia"/>
                            </w:rPr>
                            <w:t xml:space="preserve">                                                                                                                                              </w:t>
                          </w: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59</w:t>
                          </w:r>
                          <w:r>
                            <w:rPr>
                              <w:rFonts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95pt;height:144pt;width:144pt;mso-position-horizontal:center;mso-position-horizontal-relative:margin;mso-wrap-style:none;z-index:251675648;mso-width-relative:page;mso-height-relative:page;" filled="f" stroked="f" coordsize="21600,21600" o:gfxdata="UEsDBAoAAAAAAIdO4kAAAAAAAAAAAAAAAAAEAAAAZHJzL1BLAwQUAAAACACHTuJAsTOaftIAAAAG&#10;AQAADwAAAGRycy9kb3ducmV2LnhtbE2PQU/DMAyF70j8h8hI3Fi6gVBbmk5iohyRWHfgmDWmLSRO&#10;lWRd+fd4J7j5+VnP36u2i7NixhBHTwrWqwwEUufNSL2CQ9vc5SBi0mS09YQKfjDCtr6+qnRp/Jne&#10;cd6nXnAIxVIrGFKaSiljN6DTceUnJPY+fXA6sQy9NEGfOdxZucmyR+n0SPxh0BPuBuy+9yenYNe0&#10;bZgxBvuBr83919vzA74sSt3erLMnEAmX9HcMF3xGh5qZjv5EJgqrgIsk3hYg2NzkOevjZSgKkHUl&#10;/+PXv1BLAwQUAAAACACHTuJAJOcKjzECAABlBAAADgAAAGRycy9lMm9Eb2MueG1srVRLjhMxEN0j&#10;cQfLe9JJEKMoSmcUJgpCipiRAmLtuN1pS/7JdtIdDgA3YMWGPefKOXjuTwYNLGbBxl12lV/5varq&#10;xW2jFTkJH6Q1OZ2MxpQIw20hzSGnnz5uXs0oCZGZgilrRE7PItDb5csXi9rNxdRWVhXCE4CYMK9d&#10;TqsY3TzLAq+EZmFknTBwltZrFrH1h6zwrAa6Vtl0PL7JausL5y0XIeB03Tlpj+ifA2jLUnKxtvyo&#10;hYkdqheKRVAKlXSBLtvXlqXg8b4sg4hE5RRMY7siCex9WrPlgs0PnrlK8v4J7DlPeMJJM2mQ9Aq1&#10;ZpGRo5d/QWnJvQ22jCNuddYRaRUBi8n4iTa7ijnRcoHUwV1FD/8Pln84PXgiC3TCGJoYplHyy/dv&#10;lx+/Lj+/knQIiWoX5ojcOcTG5q1tED6cBxwm5k3pdfqCE4EfYOerwKKJhKdLs+lslvJw+IYN8LPH&#10;686H+E5YTZKRU48KtsKy0zbELnQISdmM3Uil2ioqQ+qc3rx+M24vXD0AVwY5EonuscmKzb7pme1t&#10;cQYxb7vuCI5vJJJvWYgPzKMd8GAMTLzHUiqLJLa3KKms//Kv8xSPKsFLSY32yqnBNFGi3htUD4Bx&#10;MPxg7AfDHPWdRb9OMIiOtyYu+KgGs/RWf8YUrVIOuJjhyJTTOJh3sWtxTCEXq1UbdHReHqruAnrP&#10;sbg1O8dTmiRkcKtjhJitxkmgTpVeN3RfW6V+UlJ7/7lvox7/Ds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TOaftIAAAAGAQAADwAAAAAAAAABACAAAAAiAAAAZHJzL2Rvd25yZXYueG1sUEsBAhQA&#10;FAAAAAgAh07iQCTnCo8xAgAAZQQAAA4AAAAAAAAAAQAgAAAAIQEAAGRycy9lMm9Eb2MueG1sUEsF&#10;BgAAAAAGAAYAWQEAAMQFAAAAAA==&#10;">
              <v:fill on="f" focussize="0,0"/>
              <v:stroke on="f" weight="0.5pt"/>
              <v:imagedata o:title=""/>
              <o:lock v:ext="edit" aspectratio="f"/>
              <v:textbox inset="0mm,0mm,0mm,0mm" style="mso-fit-shape-to-text:t;">
                <w:txbxContent>
                  <w:p>
                    <w:pPr>
                      <w:pStyle w:val="24"/>
                      <w:ind w:firstLine="0" w:firstLineChars="0"/>
                    </w:pPr>
                    <w:r>
                      <w:rPr>
                        <w:rFonts w:hint="eastAsia"/>
                      </w:rPr>
                      <w:t xml:space="preserve">                                                                                                                                              </w:t>
                    </w: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59</w:t>
                    </w:r>
                    <w:r>
                      <w:rPr>
                        <w:rFonts w:cs="Times New Roman"/>
                      </w:rPr>
                      <w:fldChar w:fldCharType="end"/>
                    </w:r>
                  </w:p>
                </w:txbxContent>
              </v:textbox>
            </v:shape>
          </w:pict>
        </mc:Fallback>
      </mc:AlternateContent>
    </w:r>
  </w:p>
  <w:p>
    <w:pPr>
      <w:pStyle w:val="24"/>
      <w:ind w:firstLine="0" w:firstLineChars="0"/>
      <w:rPr>
        <w:rFonts w:cs="Times New Roman"/>
      </w:rPr>
    </w:pPr>
  </w:p>
  <w:p>
    <w:pPr>
      <w:pStyle w:val="24"/>
      <w:ind w:firstLine="0" w:firstLineChars="0"/>
      <w:rPr>
        <w:rFonts w:cs="Times New Roman"/>
      </w:rPr>
    </w:pPr>
  </w:p>
  <w:p>
    <w:pPr>
      <w:pStyle w:val="24"/>
      <w:ind w:firstLine="0" w:firstLineChars="0"/>
      <w:rPr>
        <w:rFonts w:cs="Times New Roman"/>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right"/>
    </w:pPr>
    <w:r>
      <w:rPr>
        <w:rFonts w:hint="eastAsia"/>
      </w:rPr>
      <w:t>xxxxxxxxxxx</w: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12065</wp:posOffset>
              </wp:positionV>
              <wp:extent cx="114935" cy="131445"/>
              <wp:effectExtent l="0" t="0" r="0" b="0"/>
              <wp:wrapNone/>
              <wp:docPr id="84" name="文本框 18"/>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pPr>
                            <w:pStyle w:val="24"/>
                            <w:ind w:firstLine="0" w:firstLineChars="0"/>
                          </w:pPr>
                          <w:r>
                            <w:fldChar w:fldCharType="begin"/>
                          </w:r>
                          <w:r>
                            <w:instrText xml:space="preserve"> PAGE  \* MERGEFORMAT </w:instrText>
                          </w:r>
                          <w:r>
                            <w:fldChar w:fldCharType="separate"/>
                          </w:r>
                          <w:r>
                            <w:t>58</w:t>
                          </w:r>
                          <w:r>
                            <w:fldChar w:fldCharType="end"/>
                          </w:r>
                        </w:p>
                      </w:txbxContent>
                    </wps:txbx>
                    <wps:bodyPr wrap="none" lIns="0" tIns="0" rIns="0" bIns="0" upright="1">
                      <a:spAutoFit/>
                    </wps:bodyPr>
                  </wps:wsp>
                </a:graphicData>
              </a:graphic>
            </wp:anchor>
          </w:drawing>
        </mc:Choice>
        <mc:Fallback>
          <w:pict>
            <v:shape id="文本框 18" o:spid="_x0000_s1026" o:spt="202" type="#_x0000_t202" style="position:absolute;left:0pt;margin-top:0.95pt;height:10.35pt;width:9.05pt;mso-position-horizontal:center;mso-position-horizontal-relative:margin;mso-wrap-style:none;z-index:251659264;mso-width-relative:page;mso-height-relative:page;" filled="f" stroked="f" coordsize="21600,21600" o:gfxdata="UEsDBAoAAAAAAIdO4kAAAAAAAAAAAAAAAAAEAAAAZHJzL1BLAwQUAAAACACHTuJAtv7xz9AAAAAE&#10;AQAADwAAAGRycy9kb3ducmV2LnhtbE2PMU/DMBCFdyT+g3VIbNRJhpKGOB0qsbBREBLbNb7GEfY5&#10;st00+fe4E4z33tN737X7xVkxU4ijZwXlpgBB3Hs98qDg8+P1qQYRE7JG65kUrBRh393ftdhof+V3&#10;mo9pELmEY4MKTEpTI2XsDTmMGz8RZ+/sg8OUzzBIHfCay52VVVFspcOR84LBiQ6G+p/jxSl4Xr48&#10;TZEO9H2e+2DGtbZvq1KPD2XxAiLRkv7CcMPP6NBlppO/sI7CKsiPpKzuQNzMugRxUlBVW5BdK//D&#10;d79QSwMEFAAAAAgAh07iQCnRkUDVAQAApwMAAA4AAABkcnMvZTJvRG9jLnhtbK1TS27bMBDdF8gd&#10;CO5jWYlTuILloIWRIEDRFkh7AJoiLQL8gUNb8gXaG3TVTfc9l8/RISU5bbrJohtqODN8M+/NaHXb&#10;G00OIoBytqblbE6JsNw1yu5q+uXz3eWSEojMNkw7K2p6FEBv1xevVp2vxJVrnW5EIAhioep8TdsY&#10;fVUUwFthGMycFxaD0gXDIl7DrmgC6xDd6OJqPn9ddC40PjguANC7GYJ0RAwvAXRSKi42ju+NsHFA&#10;DUKziJSgVR7oOncrpeDxo5QgItE1RaYxn1gE7W06i/WKVbvAfKv42AJ7SQvPOBmmLBY9Q21YZGQf&#10;1D9QRvHgwMk4484UA5GsCLIo58+0eWyZF5kLSg3+LDr8P1j+4fApENXUdLmgxDKDEz99/3b68ev0&#10;8yspl0mgzkOFeY8eM2P/zvW4NpMf0Jl49zKY9EVGBOMo7/Esr+gj4elRuXhzfUMJx1B5XS4WNwml&#10;eHrsA8R74QxJRk0DTi+Lyg7vIQ6pU0qqZd2d0jpPUNu/HIg5eERegfF14jH0m6zYb/uR3NY1R+TW&#10;4RrU1OLWU6IfLKqcNmYywmRsJ2Pvg9q12GiZuwT/dh+xpdxpqjDAIsN0wfllruOupQX5856znv6v&#10;9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2/vHP0AAAAAQBAAAPAAAAAAAAAAEAIAAAACIAAABk&#10;cnMvZG93bnJldi54bWxQSwECFAAUAAAACACHTuJAKdGRQNUBAACnAwAADgAAAAAAAAABACAAAAAf&#10;AQAAZHJzL2Uyb0RvYy54bWxQSwUGAAAAAAYABgBZAQAAZgUAAAAA&#10;">
              <v:fill on="f" focussize="0,0"/>
              <v:stroke on="f"/>
              <v:imagedata o:title=""/>
              <o:lock v:ext="edit" aspectratio="f"/>
              <v:textbox inset="0mm,0mm,0mm,0mm" style="mso-fit-shape-to-text:t;">
                <w:txbxContent>
                  <w:p>
                    <w:pPr>
                      <w:pStyle w:val="24"/>
                      <w:ind w:firstLine="0" w:firstLineChars="0"/>
                    </w:pPr>
                    <w:r>
                      <w:fldChar w:fldCharType="begin"/>
                    </w:r>
                    <w:r>
                      <w:instrText xml:space="preserve"> PAGE  \* MERGEFORMAT </w:instrText>
                    </w:r>
                    <w:r>
                      <w:fldChar w:fldCharType="separate"/>
                    </w:r>
                    <w:r>
                      <w:t>58</w:t>
                    </w:r>
                    <w:r>
                      <w:fldChar w:fldCharType="end"/>
                    </w:r>
                  </w:p>
                </w:txbxContent>
              </v:textbox>
            </v:shape>
          </w:pict>
        </mc:Fallback>
      </mc:AlternateContent>
    </w:r>
  </w:p>
  <w:p>
    <w:pPr>
      <w:pStyle w:val="24"/>
      <w:ind w:firstLine="360"/>
      <w:jc w:val="right"/>
    </w:pPr>
  </w:p>
  <w:p>
    <w:pPr>
      <w:pStyle w:val="24"/>
      <w:ind w:firstLine="360"/>
      <w:jc w:val="right"/>
    </w:pPr>
  </w:p>
  <w:p>
    <w:pPr>
      <w:pStyle w:val="24"/>
      <w:ind w:firstLine="360"/>
      <w:jc w:val="right"/>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rPr>
        <w:rFonts w:cs="Times New Roman"/>
      </w:rPr>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12065</wp:posOffset>
              </wp:positionV>
              <wp:extent cx="1828800" cy="182880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ind w:firstLine="0" w:firstLineChars="0"/>
                          </w:pPr>
                          <w:r>
                            <w:rPr>
                              <w:rFonts w:hint="eastAsia"/>
                            </w:rPr>
                            <w:t xml:space="preserve">                                                                                          </w:t>
                          </w: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95</w:t>
                          </w:r>
                          <w:r>
                            <w:rPr>
                              <w:rFonts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95pt;height:144pt;width:144pt;mso-position-horizontal:center;mso-position-horizontal-relative:margin;mso-wrap-style:none;z-index:251676672;mso-width-relative:page;mso-height-relative:page;" filled="f" stroked="f" coordsize="21600,21600" o:gfxdata="UEsDBAoAAAAAAIdO4kAAAAAAAAAAAAAAAAAEAAAAZHJzL1BLAwQUAAAACACHTuJAsTOaftIAAAAG&#10;AQAADwAAAGRycy9kb3ducmV2LnhtbE2PQU/DMAyF70j8h8hI3Fi6gVBbmk5iohyRWHfgmDWmLSRO&#10;lWRd+fd4J7j5+VnP36u2i7NixhBHTwrWqwwEUufNSL2CQ9vc5SBi0mS09YQKfjDCtr6+qnRp/Jne&#10;cd6nXnAIxVIrGFKaSiljN6DTceUnJPY+fXA6sQy9NEGfOdxZucmyR+n0SPxh0BPuBuy+9yenYNe0&#10;bZgxBvuBr83919vzA74sSt3erLMnEAmX9HcMF3xGh5qZjv5EJgqrgIsk3hYg2NzkOevjZSgKkHUl&#10;/+PXv1BLAwQUAAAACACHTuJAT1uUEzICAABlBAAADgAAAGRycy9lMm9Eb2MueG1srVTNjtMwEL4j&#10;8Q6W7zRpEauqaroqWxUhVexKBXF2Haex5D/ZbpPyAPAGnLhw57n6HHxOmi5aOOyBizP2jL+Z75tx&#10;5retVuQofJDWFHQ8yikRhttSmn1BP31cv5pSEiIzJVPWiIKeRKC3i5cv5o2biYmtrSqFJwAxYda4&#10;gtYxulmWBV4LzcLIOmHgrKzXLGLr91npWQN0rbJJnt9kjfWl85aLEHC66p30guifA2irSnKxsvyg&#10;hYk9qheKRVAKtXSBLrpqq0rweF9VQUSiCgqmsVuRBPYurdlizmZ7z1wt+aUE9pwSnnDSTBokvUKt&#10;WGTk4OVfUFpyb4Ot4ohbnfVEOkXAYpw/0WZbMyc6LpA6uKvo4f/B8g/HB09kiUnIx5QYptHy8/dv&#10;5x+/zj+/knQIiRoXZojcOsTG9q1tET6cBxwm5m3ldfqCE4EfAp+uAos2Ep4uTSfTaQ4Xh2/YAD97&#10;vO58iO+E1SQZBfXoYCcsO25C7EOHkJTN2LVUquuiMqQp6M3rN3l34eoBuDLIkUj0xSYrtrv2wmxn&#10;yxOIedtPR3B8LZF8w0J8YB7jgILxYOI9lkpZJLEXi5La+i//Ok/x6BK8lDQYr4IavCZK1HuD7gEw&#10;DoYfjN1gmIO+s5hX9AO1dCYu+KgGs/JWf8YrWqYccDHDkamgcTDvYj/ieIVcLJdd0MF5ua/7C5g9&#10;x+LGbB1PaZKQwS0PEWJ2GieBelUuumH6ui5dXkoa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Ezmn7SAAAABgEAAA8AAAAAAAAAAQAgAAAAIgAAAGRycy9kb3ducmV2LnhtbFBLAQIU&#10;ABQAAAAIAIdO4kBPW5QTMgIAAGUEAAAOAAAAAAAAAAEAIAAAACEBAABkcnMvZTJvRG9jLnhtbFBL&#10;BQYAAAAABgAGAFkBAADFBQAAAAA=&#10;">
              <v:fill on="f" focussize="0,0"/>
              <v:stroke on="f" weight="0.5pt"/>
              <v:imagedata o:title=""/>
              <o:lock v:ext="edit" aspectratio="f"/>
              <v:textbox inset="0mm,0mm,0mm,0mm" style="mso-fit-shape-to-text:t;">
                <w:txbxContent>
                  <w:p>
                    <w:pPr>
                      <w:pStyle w:val="24"/>
                      <w:ind w:firstLine="0" w:firstLineChars="0"/>
                    </w:pPr>
                    <w:r>
                      <w:rPr>
                        <w:rFonts w:hint="eastAsia"/>
                      </w:rPr>
                      <w:t xml:space="preserve">                                                                                          </w:t>
                    </w: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95</w:t>
                    </w:r>
                    <w:r>
                      <w:rPr>
                        <w:rFonts w:cs="Times New Roman"/>
                      </w:rPr>
                      <w:fldChar w:fldCharType="end"/>
                    </w:r>
                  </w:p>
                </w:txbxContent>
              </v:textbox>
            </v:shape>
          </w:pict>
        </mc:Fallback>
      </mc:AlternateContent>
    </w:r>
  </w:p>
  <w:p>
    <w:pPr>
      <w:pStyle w:val="24"/>
      <w:ind w:firstLine="360"/>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12065</wp:posOffset>
              </wp:positionV>
              <wp:extent cx="1828800" cy="182880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ind w:firstLine="0" w:firstLineChars="0"/>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96</w:t>
                          </w:r>
                          <w:r>
                            <w:rPr>
                              <w:rFonts w:cs="Times New Roman"/>
                            </w:rPr>
                            <w:fldChar w:fldCharType="end"/>
                          </w:r>
                          <w:r>
                            <w:rPr>
                              <w:rFonts w:hint="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95pt;height:144pt;width:144pt;mso-position-horizontal:center;mso-position-horizontal-relative:margin;mso-wrap-style:none;z-index:251677696;mso-width-relative:page;mso-height-relative:page;" filled="f" stroked="f" coordsize="21600,21600" o:gfxdata="UEsDBAoAAAAAAIdO4kAAAAAAAAAAAAAAAAAEAAAAZHJzL1BLAwQUAAAACACHTuJAsTOaftIAAAAG&#10;AQAADwAAAGRycy9kb3ducmV2LnhtbE2PQU/DMAyF70j8h8hI3Fi6gVBbmk5iohyRWHfgmDWmLSRO&#10;lWRd+fd4J7j5+VnP36u2i7NixhBHTwrWqwwEUufNSL2CQ9vc5SBi0mS09YQKfjDCtr6+qnRp/Jne&#10;cd6nXnAIxVIrGFKaSiljN6DTceUnJPY+fXA6sQy9NEGfOdxZucmyR+n0SPxh0BPuBuy+9yenYNe0&#10;bZgxBvuBr83919vzA74sSt3erLMnEAmX9HcMF3xGh5qZjv5EJgqrgIsk3hYg2NzkOevjZSgKkHUl&#10;/+PXv1BLAwQUAAAACACHTuJAs5lGbTMCAABlBAAADgAAAGRycy9lMm9Eb2MueG1srVTNjtMwEL4j&#10;8Q6W7zRpEauqaroqWxUhVexKBXF2HaeJ5D/ZbpPyAPAGnLhw57n6HHx2mi5aOOyBizP2jL/x981M&#10;5redkuQonG+MLuh4lFMiNDdlo/cF/fRx/WpKiQ9Ml0waLQp6Ep7eLl6+mLd2JiamNrIUjgBE+1lr&#10;C1qHYGdZ5nktFPMjY4WGszJOsYCt22elYy3QlcwmeX6TtcaV1hkuvMfpqnfSC6J7DqCpqoaLleEH&#10;JXToUZ2QLICSrxvr6SK9tqoED/dV5UUgsqBgGtKKJLB3cc0WczbbO2brhl+ewJ7zhCecFGs0kl6h&#10;ViwwcnDNX1Cq4c54U4URNyrriSRFwGKcP9FmWzMrEhdI7e1VdP//YPmH44MjTYlOyCeUaKZQ8vP3&#10;b+cfv84/v5J4CIla62eI3FrEhu6t6RA+nHscRuZd5VT8ghOBHwKfrgKLLhAeL00n02kOF4dv2AA/&#10;e7xunQ/vhFEkGgV1qGASlh03PvShQ0jMps26kTJVUWrSFvTm9Zs8Xbh6AC41ckQS/WOjFbpdd2G2&#10;M+UJxJzpu8Nbvm6QfMN8eGAO7YAHY2DCPZZKGiQxF4uS2rgv/zqP8agSvJS0aK+CakwTJfK9RvUA&#10;GAbDDcZuMPRB3Rn06xiDaHkyccEFOZiVM+ozpmgZc8DFNEemgobBvAt9i2MKuVguU9DBumZf9xfQ&#10;e5aFjd5aHtNEIb1dHgLETBpHgXpVLrqh+1KVLpMS2/vPfYp6/Ds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xM5p+0gAAAAYBAAAPAAAAAAAAAAEAIAAAACIAAABkcnMvZG93bnJldi54bWxQSwEC&#10;FAAUAAAACACHTuJAs5lGbTMCAABlBAAADgAAAAAAAAABACAAAAAhAQAAZHJzL2Uyb0RvYy54bWxQ&#10;SwUGAAAAAAYABgBZAQAAxgUAAAAA&#10;">
              <v:fill on="f" focussize="0,0"/>
              <v:stroke on="f" weight="0.5pt"/>
              <v:imagedata o:title=""/>
              <o:lock v:ext="edit" aspectratio="f"/>
              <v:textbox inset="0mm,0mm,0mm,0mm" style="mso-fit-shape-to-text:t;">
                <w:txbxContent>
                  <w:p>
                    <w:pPr>
                      <w:pStyle w:val="24"/>
                      <w:ind w:firstLine="0" w:firstLineChars="0"/>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96</w:t>
                    </w:r>
                    <w:r>
                      <w:rPr>
                        <w:rFonts w:cs="Times New Roman"/>
                      </w:rPr>
                      <w:fldChar w:fldCharType="end"/>
                    </w:r>
                    <w:r>
                      <w:rPr>
                        <w:rFonts w:hint="eastAsia"/>
                      </w:rPr>
                      <w:t xml:space="preserve">                                                                              </w:t>
                    </w:r>
                  </w:p>
                </w:txbxContent>
              </v:textbox>
            </v:shape>
          </w:pict>
        </mc:Fallback>
      </mc:AlternateContent>
    </w:r>
  </w:p>
  <w:p>
    <w:pPr>
      <w:pStyle w:val="24"/>
      <w:ind w:firstLine="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p>
    <w:pPr>
      <w:pStyle w:val="25"/>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p>
    <w:pPr>
      <w:pStyle w:val="25"/>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p>
    <w:pPr>
      <w:pStyle w:val="25"/>
      <w:pBdr>
        <w:bottom w:val="none" w:color="auto" w:sz="0" w:space="0"/>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p>
    <w:pPr>
      <w:pStyle w:val="25"/>
      <w:ind w:firstLine="360"/>
    </w:pPr>
    <w:r>
      <w:rPr>
        <w:rFonts w:hint="eastAsia"/>
      </w:rPr>
      <w:t>云南安宁泰源工贸集团有限公司景洪分公司尾矿库突发环境事件应急预案</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p>
  <w:p>
    <w:pPr>
      <w:pStyle w:val="25"/>
      <w:pBdr>
        <w:bottom w:val="single" w:color="auto" w:sz="4" w:space="1"/>
      </w:pBdr>
      <w:ind w:firstLine="360"/>
    </w:pPr>
    <w:r>
      <w:rPr>
        <w:rFonts w:hint="eastAsia"/>
      </w:rPr>
      <w:t>云南安宁泰源工贸集团有限公司景洪分公司</w:t>
    </w:r>
    <w:r>
      <w:t>尾矿库突发环境事件应急预案</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r>
      <w:rPr>
        <w:rFonts w:hint="eastAsia"/>
      </w:rPr>
      <w:t>云南安宁泰源工贸集团有限公司景洪分公司尾矿库突发环境事件应急预案</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360"/>
    </w:pPr>
    <w:r>
      <w:rPr>
        <w:rFonts w:hint="eastAsia"/>
      </w:rPr>
      <w:t>云南安宁泰源工贸集团有限公司景洪分公司</w:t>
    </w:r>
    <w:r>
      <w:t>尾矿库突发环境事件应急预案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0BAF7A"/>
    <w:multiLevelType w:val="singleLevel"/>
    <w:tmpl w:val="CA0BAF7A"/>
    <w:lvl w:ilvl="0" w:tentative="0">
      <w:start w:val="2"/>
      <w:numFmt w:val="decimal"/>
      <w:suff w:val="nothing"/>
      <w:lvlText w:val="%1）"/>
      <w:lvlJc w:val="left"/>
    </w:lvl>
  </w:abstractNum>
  <w:abstractNum w:abstractNumId="1">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12"/>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evenAndOddHeaders w:val="1"/>
  <w:drawingGridHorizontalSpacing w:val="140"/>
  <w:drawingGridVerticalSpacing w:val="381"/>
  <w:displayHorizontalDrawingGridEvery w:val="0"/>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wNDAyNjk1Njc5ZTVjOWU5NDYxOGRiZTllMzhkMGMifQ=="/>
  </w:docVars>
  <w:rsids>
    <w:rsidRoot w:val="5B91242E"/>
    <w:rsid w:val="00005B9C"/>
    <w:rsid w:val="00056E8C"/>
    <w:rsid w:val="00066096"/>
    <w:rsid w:val="00075D01"/>
    <w:rsid w:val="000825C5"/>
    <w:rsid w:val="000A0966"/>
    <w:rsid w:val="000B514E"/>
    <w:rsid w:val="00151E88"/>
    <w:rsid w:val="001B4450"/>
    <w:rsid w:val="0020447B"/>
    <w:rsid w:val="00250648"/>
    <w:rsid w:val="00250C77"/>
    <w:rsid w:val="002B3C33"/>
    <w:rsid w:val="002D6B9B"/>
    <w:rsid w:val="002E66B8"/>
    <w:rsid w:val="00314BF1"/>
    <w:rsid w:val="003339CB"/>
    <w:rsid w:val="00396149"/>
    <w:rsid w:val="003A1A9F"/>
    <w:rsid w:val="003A5BED"/>
    <w:rsid w:val="00440460"/>
    <w:rsid w:val="004536CD"/>
    <w:rsid w:val="00460788"/>
    <w:rsid w:val="00556885"/>
    <w:rsid w:val="005F6464"/>
    <w:rsid w:val="0072206C"/>
    <w:rsid w:val="00722269"/>
    <w:rsid w:val="007665B6"/>
    <w:rsid w:val="007D249A"/>
    <w:rsid w:val="00812A4C"/>
    <w:rsid w:val="00872317"/>
    <w:rsid w:val="00900B57"/>
    <w:rsid w:val="00A97616"/>
    <w:rsid w:val="00AC5141"/>
    <w:rsid w:val="00B07532"/>
    <w:rsid w:val="00B17592"/>
    <w:rsid w:val="00B20B66"/>
    <w:rsid w:val="00C03228"/>
    <w:rsid w:val="00C061A0"/>
    <w:rsid w:val="00C37A6F"/>
    <w:rsid w:val="00CA2F88"/>
    <w:rsid w:val="00CC61CA"/>
    <w:rsid w:val="00CC7829"/>
    <w:rsid w:val="00D93D3F"/>
    <w:rsid w:val="00DB0D92"/>
    <w:rsid w:val="00E1560B"/>
    <w:rsid w:val="00E602DD"/>
    <w:rsid w:val="00E6066A"/>
    <w:rsid w:val="00E744FC"/>
    <w:rsid w:val="00EC7A59"/>
    <w:rsid w:val="00F23AFF"/>
    <w:rsid w:val="033705F8"/>
    <w:rsid w:val="08BB78B2"/>
    <w:rsid w:val="10367373"/>
    <w:rsid w:val="10F57DE6"/>
    <w:rsid w:val="14F72E4B"/>
    <w:rsid w:val="15024634"/>
    <w:rsid w:val="17CE0037"/>
    <w:rsid w:val="1FC5161E"/>
    <w:rsid w:val="24822383"/>
    <w:rsid w:val="29A936EC"/>
    <w:rsid w:val="2E330B38"/>
    <w:rsid w:val="30654D0A"/>
    <w:rsid w:val="354B6CA2"/>
    <w:rsid w:val="3C67573A"/>
    <w:rsid w:val="3E734A16"/>
    <w:rsid w:val="404D4549"/>
    <w:rsid w:val="45E60D68"/>
    <w:rsid w:val="4A833104"/>
    <w:rsid w:val="56E83653"/>
    <w:rsid w:val="5B1D064A"/>
    <w:rsid w:val="5B91242E"/>
    <w:rsid w:val="5D467CEC"/>
    <w:rsid w:val="610D5BBC"/>
    <w:rsid w:val="674A397A"/>
    <w:rsid w:val="69F516AD"/>
    <w:rsid w:val="70732228"/>
    <w:rsid w:val="75810DC4"/>
    <w:rsid w:val="77542C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ind w:firstLine="200" w:firstLineChars="200"/>
      <w:jc w:val="both"/>
      <w:textAlignment w:val="baseline"/>
    </w:pPr>
    <w:rPr>
      <w:rFonts w:ascii="Times New Roman" w:hAnsi="Times New Roman" w:eastAsia="仿宋" w:cs="宋体"/>
      <w:sz w:val="28"/>
      <w:lang w:val="en-US" w:eastAsia="zh-CN" w:bidi="ar-SA"/>
    </w:rPr>
  </w:style>
  <w:style w:type="paragraph" w:styleId="17">
    <w:name w:val="heading 1"/>
    <w:basedOn w:val="1"/>
    <w:next w:val="1"/>
    <w:link w:val="36"/>
    <w:qFormat/>
    <w:uiPriority w:val="9"/>
    <w:pPr>
      <w:keepNext/>
      <w:keepLines/>
      <w:ind w:firstLine="0" w:firstLineChars="0"/>
      <w:outlineLvl w:val="0"/>
    </w:pPr>
    <w:rPr>
      <w:rFonts w:ascii="楷体_GB2312" w:hAnsi="楷体_GB2312"/>
      <w:b/>
      <w:kern w:val="44"/>
      <w:sz w:val="32"/>
    </w:rPr>
  </w:style>
  <w:style w:type="paragraph" w:styleId="18">
    <w:name w:val="heading 2"/>
    <w:basedOn w:val="1"/>
    <w:next w:val="1"/>
    <w:qFormat/>
    <w:uiPriority w:val="0"/>
    <w:pPr>
      <w:keepNext/>
      <w:keepLines/>
      <w:ind w:firstLine="0" w:firstLineChars="0"/>
      <w:outlineLvl w:val="1"/>
    </w:pPr>
    <w:rPr>
      <w:rFonts w:ascii="宋体" w:hAnsi="宋体" w:cs="Times New Roman"/>
      <w:b/>
      <w:sz w:val="30"/>
    </w:rPr>
  </w:style>
  <w:style w:type="paragraph" w:styleId="16">
    <w:name w:val="heading 3"/>
    <w:basedOn w:val="1"/>
    <w:next w:val="1"/>
    <w:qFormat/>
    <w:uiPriority w:val="0"/>
    <w:pPr>
      <w:keepNext/>
      <w:keepLines/>
      <w:wordWrap w:val="0"/>
      <w:autoSpaceDE w:val="0"/>
      <w:ind w:firstLine="0" w:firstLineChars="0"/>
      <w:outlineLvl w:val="2"/>
    </w:pPr>
    <w:rPr>
      <w:rFonts w:ascii="宋体" w:hAnsi="宋体" w:cs="Times New Roman"/>
      <w:b/>
    </w:rPr>
  </w:style>
  <w:style w:type="paragraph" w:styleId="6">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pacing w:line="240" w:lineRule="atLeast"/>
    </w:pPr>
    <w:rPr>
      <w:rFonts w:ascii="宋体" w:hAnsi="Courier New"/>
      <w:sz w:val="28"/>
      <w:szCs w:val="20"/>
    </w:rPr>
  </w:style>
  <w:style w:type="paragraph" w:customStyle="1" w:styleId="3">
    <w:name w:val="Default"/>
    <w:basedOn w:val="4"/>
    <w:next w:val="5"/>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4">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
    <w:name w:val="标题4"/>
    <w:basedOn w:val="6"/>
    <w:next w:val="7"/>
    <w:qFormat/>
    <w:uiPriority w:val="0"/>
    <w:rPr>
      <w:rFonts w:ascii="Arial" w:hAnsi="Arial"/>
    </w:rPr>
  </w:style>
  <w:style w:type="paragraph" w:customStyle="1" w:styleId="7">
    <w:name w:val="Char1"/>
    <w:basedOn w:val="1"/>
    <w:next w:val="8"/>
    <w:qFormat/>
    <w:uiPriority w:val="0"/>
    <w:rPr>
      <w:szCs w:val="24"/>
    </w:rPr>
  </w:style>
  <w:style w:type="paragraph" w:customStyle="1" w:styleId="8">
    <w:name w:val="Char"/>
    <w:basedOn w:val="9"/>
    <w:next w:val="10"/>
    <w:qFormat/>
    <w:uiPriority w:val="0"/>
    <w:rPr>
      <w:szCs w:val="24"/>
    </w:rPr>
  </w:style>
  <w:style w:type="paragraph" w:styleId="9">
    <w:name w:val="Document Map"/>
    <w:basedOn w:val="1"/>
    <w:link w:val="44"/>
    <w:qFormat/>
    <w:uiPriority w:val="0"/>
    <w:pPr>
      <w:spacing w:line="240" w:lineRule="auto"/>
    </w:pPr>
    <w:rPr>
      <w:rFonts w:ascii="宋体" w:eastAsia="宋体"/>
      <w:sz w:val="16"/>
      <w:szCs w:val="16"/>
    </w:rPr>
  </w:style>
  <w:style w:type="paragraph" w:customStyle="1" w:styleId="10">
    <w:name w:val="首行缩进加粗"/>
    <w:basedOn w:val="1"/>
    <w:next w:val="11"/>
    <w:qFormat/>
    <w:uiPriority w:val="0"/>
    <w:pPr>
      <w:spacing w:line="360" w:lineRule="auto"/>
      <w:ind w:left="482" w:firstLine="4834"/>
    </w:pPr>
    <w:rPr>
      <w:rFonts w:ascii="宋体"/>
    </w:rPr>
  </w:style>
  <w:style w:type="paragraph" w:customStyle="1" w:styleId="11">
    <w:name w:val="四级条标题"/>
    <w:basedOn w:val="12"/>
    <w:next w:val="16"/>
    <w:qFormat/>
    <w:uiPriority w:val="0"/>
    <w:pPr>
      <w:spacing w:before="50" w:after="50"/>
      <w:ind w:left="1080" w:firstLine="14"/>
      <w:outlineLvl w:val="5"/>
    </w:pPr>
  </w:style>
  <w:style w:type="paragraph" w:customStyle="1" w:styleId="12">
    <w:name w:val="三级条标题"/>
    <w:basedOn w:val="13"/>
    <w:next w:val="1"/>
    <w:qFormat/>
    <w:uiPriority w:val="0"/>
    <w:pPr>
      <w:numPr>
        <w:ilvl w:val="4"/>
        <w:numId w:val="1"/>
      </w:numPr>
      <w:ind w:left="945"/>
      <w:outlineLvl w:val="4"/>
    </w:pPr>
  </w:style>
  <w:style w:type="paragraph" w:customStyle="1" w:styleId="13">
    <w:name w:val="二级条标题"/>
    <w:basedOn w:val="14"/>
    <w:next w:val="1"/>
    <w:qFormat/>
    <w:uiPriority w:val="0"/>
    <w:pPr>
      <w:ind w:left="945"/>
      <w:outlineLvl w:val="3"/>
    </w:pPr>
  </w:style>
  <w:style w:type="paragraph" w:customStyle="1" w:styleId="14">
    <w:name w:val="一级条标题"/>
    <w:basedOn w:val="15"/>
    <w:next w:val="1"/>
    <w:qFormat/>
    <w:uiPriority w:val="0"/>
    <w:pPr>
      <w:spacing w:before="0" w:beforeLines="0" w:after="0" w:afterLines="0"/>
      <w:outlineLvl w:val="2"/>
    </w:pPr>
  </w:style>
  <w:style w:type="paragraph" w:customStyle="1" w:styleId="15">
    <w:name w:val="章标题"/>
    <w:next w:val="1"/>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styleId="19">
    <w:name w:val="annotation text"/>
    <w:basedOn w:val="1"/>
    <w:link w:val="41"/>
    <w:qFormat/>
    <w:uiPriority w:val="0"/>
    <w:pPr>
      <w:jc w:val="left"/>
    </w:pPr>
  </w:style>
  <w:style w:type="paragraph" w:styleId="20">
    <w:name w:val="Body Text"/>
    <w:basedOn w:val="1"/>
    <w:next w:val="1"/>
    <w:qFormat/>
    <w:uiPriority w:val="1"/>
    <w:pPr>
      <w:autoSpaceDE w:val="0"/>
      <w:autoSpaceDN w:val="0"/>
      <w:ind w:firstLine="0" w:firstLineChars="0"/>
      <w:textAlignment w:val="auto"/>
    </w:pPr>
    <w:rPr>
      <w:rFonts w:ascii="宋体" w:eastAsia="宋体"/>
      <w:sz w:val="24"/>
      <w:szCs w:val="24"/>
    </w:rPr>
  </w:style>
  <w:style w:type="paragraph" w:styleId="21">
    <w:name w:val="Body Text Indent"/>
    <w:basedOn w:val="1"/>
    <w:unhideWhenUsed/>
    <w:qFormat/>
    <w:uiPriority w:val="99"/>
    <w:pPr>
      <w:spacing w:after="120"/>
      <w:ind w:left="420" w:leftChars="200"/>
    </w:pPr>
  </w:style>
  <w:style w:type="paragraph" w:styleId="22">
    <w:name w:val="toc 3"/>
    <w:basedOn w:val="1"/>
    <w:next w:val="1"/>
    <w:unhideWhenUsed/>
    <w:qFormat/>
    <w:uiPriority w:val="39"/>
    <w:pPr>
      <w:ind w:left="840" w:leftChars="400"/>
    </w:pPr>
  </w:style>
  <w:style w:type="paragraph" w:styleId="23">
    <w:name w:val="Balloon Text"/>
    <w:basedOn w:val="1"/>
    <w:link w:val="43"/>
    <w:qFormat/>
    <w:uiPriority w:val="0"/>
    <w:pPr>
      <w:spacing w:line="240" w:lineRule="auto"/>
    </w:pPr>
    <w:rPr>
      <w:sz w:val="18"/>
      <w:szCs w:val="18"/>
    </w:rPr>
  </w:style>
  <w:style w:type="paragraph" w:styleId="24">
    <w:name w:val="footer"/>
    <w:basedOn w:val="1"/>
    <w:unhideWhenUsed/>
    <w:qFormat/>
    <w:uiPriority w:val="99"/>
    <w:pPr>
      <w:tabs>
        <w:tab w:val="center" w:pos="4153"/>
        <w:tab w:val="right" w:pos="8306"/>
      </w:tabs>
      <w:snapToGrid w:val="0"/>
    </w:pPr>
    <w:rPr>
      <w:sz w:val="18"/>
      <w:szCs w:val="18"/>
    </w:rPr>
  </w:style>
  <w:style w:type="paragraph" w:styleId="2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unhideWhenUsed/>
    <w:qFormat/>
    <w:uiPriority w:val="39"/>
  </w:style>
  <w:style w:type="paragraph" w:styleId="27">
    <w:name w:val="toc 2"/>
    <w:basedOn w:val="1"/>
    <w:next w:val="1"/>
    <w:unhideWhenUsed/>
    <w:qFormat/>
    <w:uiPriority w:val="39"/>
    <w:pPr>
      <w:ind w:left="420" w:leftChars="200"/>
    </w:pPr>
  </w:style>
  <w:style w:type="paragraph" w:styleId="28">
    <w:name w:val="annotation subject"/>
    <w:basedOn w:val="19"/>
    <w:next w:val="19"/>
    <w:link w:val="42"/>
    <w:qFormat/>
    <w:uiPriority w:val="0"/>
    <w:rPr>
      <w:b/>
      <w:bCs/>
    </w:rPr>
  </w:style>
  <w:style w:type="paragraph" w:styleId="29">
    <w:name w:val="Body Text First Indent"/>
    <w:basedOn w:val="20"/>
    <w:next w:val="1"/>
    <w:qFormat/>
    <w:uiPriority w:val="0"/>
    <w:pPr>
      <w:widowControl w:val="0"/>
      <w:spacing w:after="120"/>
      <w:ind w:firstLine="420" w:firstLineChars="100"/>
      <w:jc w:val="both"/>
    </w:pPr>
    <w:rPr>
      <w:rFonts w:ascii="Times New Roman" w:hAnsi="Times New Roman" w:eastAsia="宋体" w:cs="Times New Roman"/>
      <w:szCs w:val="24"/>
      <w:lang w:val="en-US" w:eastAsia="zh-CN" w:bidi="ar-SA"/>
    </w:rPr>
  </w:style>
  <w:style w:type="paragraph" w:styleId="30">
    <w:name w:val="Body Text First Indent 2"/>
    <w:basedOn w:val="21"/>
    <w:next w:val="29"/>
    <w:qFormat/>
    <w:uiPriority w:val="0"/>
    <w:pPr>
      <w:ind w:firstLine="420"/>
    </w:pPr>
  </w:style>
  <w:style w:type="table" w:styleId="32">
    <w:name w:val="Table Grid"/>
    <w:basedOn w:val="31"/>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34">
    <w:name w:val="Hyperlink"/>
    <w:basedOn w:val="33"/>
    <w:unhideWhenUsed/>
    <w:qFormat/>
    <w:uiPriority w:val="99"/>
    <w:rPr>
      <w:color w:val="0563C1" w:themeColor="hyperlink"/>
      <w:u w:val="single"/>
      <w14:textFill>
        <w14:solidFill>
          <w14:schemeClr w14:val="hlink"/>
        </w14:solidFill>
      </w14:textFill>
    </w:rPr>
  </w:style>
  <w:style w:type="character" w:styleId="35">
    <w:name w:val="annotation reference"/>
    <w:basedOn w:val="33"/>
    <w:qFormat/>
    <w:uiPriority w:val="0"/>
    <w:rPr>
      <w:sz w:val="21"/>
      <w:szCs w:val="21"/>
    </w:rPr>
  </w:style>
  <w:style w:type="character" w:customStyle="1" w:styleId="36">
    <w:name w:val="标题 1 字符"/>
    <w:link w:val="17"/>
    <w:qFormat/>
    <w:uiPriority w:val="9"/>
    <w:rPr>
      <w:rFonts w:ascii="楷体_GB2312" w:hAnsi="楷体_GB2312" w:eastAsia="仿宋"/>
      <w:b/>
      <w:kern w:val="44"/>
      <w:sz w:val="32"/>
    </w:rPr>
  </w:style>
  <w:style w:type="paragraph" w:customStyle="1" w:styleId="37">
    <w:name w:val="表格1"/>
    <w:basedOn w:val="1"/>
    <w:qFormat/>
    <w:uiPriority w:val="0"/>
    <w:pPr>
      <w:ind w:firstLine="0" w:firstLineChars="0"/>
      <w:jc w:val="center"/>
    </w:pPr>
    <w:rPr>
      <w:rFonts w:ascii="宋体" w:cs="Times New Roman"/>
      <w:spacing w:val="20"/>
      <w:w w:val="95"/>
      <w:sz w:val="21"/>
    </w:rPr>
  </w:style>
  <w:style w:type="paragraph" w:customStyle="1" w:styleId="38">
    <w:name w:val="图名"/>
    <w:basedOn w:val="1"/>
    <w:next w:val="1"/>
    <w:qFormat/>
    <w:uiPriority w:val="0"/>
    <w:pPr>
      <w:spacing w:afterLines="50"/>
      <w:ind w:firstLine="0" w:firstLineChars="0"/>
      <w:jc w:val="center"/>
    </w:pPr>
    <w:rPr>
      <w:b/>
      <w:sz w:val="21"/>
    </w:rPr>
  </w:style>
  <w:style w:type="paragraph" w:customStyle="1" w:styleId="39">
    <w:name w:val="表头"/>
    <w:basedOn w:val="1"/>
    <w:next w:val="1"/>
    <w:qFormat/>
    <w:uiPriority w:val="0"/>
    <w:pPr>
      <w:spacing w:beforeLines="50"/>
      <w:ind w:firstLine="0" w:firstLineChars="0"/>
      <w:jc w:val="center"/>
    </w:pPr>
    <w:rPr>
      <w:b/>
      <w:sz w:val="21"/>
    </w:rPr>
  </w:style>
  <w:style w:type="paragraph" w:customStyle="1" w:styleId="40">
    <w:name w:val="Table Paragraph"/>
    <w:basedOn w:val="1"/>
    <w:qFormat/>
    <w:uiPriority w:val="1"/>
    <w:pPr>
      <w:autoSpaceDE w:val="0"/>
      <w:autoSpaceDN w:val="0"/>
      <w:adjustRightInd/>
      <w:ind w:firstLine="0" w:firstLineChars="0"/>
      <w:jc w:val="center"/>
      <w:textAlignment w:val="auto"/>
    </w:pPr>
    <w:rPr>
      <w:rFonts w:ascii="Arial" w:hAnsi="Arial" w:eastAsia="Arial" w:cs="Arial"/>
      <w:sz w:val="22"/>
      <w:szCs w:val="22"/>
      <w:lang w:val="zh-CN" w:bidi="zh-CN"/>
    </w:rPr>
  </w:style>
  <w:style w:type="character" w:customStyle="1" w:styleId="41">
    <w:name w:val="批注文字 字符"/>
    <w:basedOn w:val="33"/>
    <w:link w:val="19"/>
    <w:qFormat/>
    <w:uiPriority w:val="0"/>
    <w:rPr>
      <w:rFonts w:eastAsia="仿宋" w:cs="宋体"/>
      <w:sz w:val="28"/>
    </w:rPr>
  </w:style>
  <w:style w:type="character" w:customStyle="1" w:styleId="42">
    <w:name w:val="批注主题 字符"/>
    <w:basedOn w:val="41"/>
    <w:link w:val="28"/>
    <w:qFormat/>
    <w:uiPriority w:val="0"/>
    <w:rPr>
      <w:rFonts w:eastAsia="仿宋" w:cs="宋体"/>
      <w:b/>
      <w:bCs/>
      <w:sz w:val="28"/>
    </w:rPr>
  </w:style>
  <w:style w:type="character" w:customStyle="1" w:styleId="43">
    <w:name w:val="批注框文本 字符"/>
    <w:basedOn w:val="33"/>
    <w:link w:val="23"/>
    <w:qFormat/>
    <w:uiPriority w:val="0"/>
    <w:rPr>
      <w:rFonts w:eastAsia="仿宋" w:cs="宋体"/>
      <w:sz w:val="18"/>
      <w:szCs w:val="18"/>
    </w:rPr>
  </w:style>
  <w:style w:type="character" w:customStyle="1" w:styleId="44">
    <w:name w:val="文档结构图 字符"/>
    <w:basedOn w:val="33"/>
    <w:link w:val="9"/>
    <w:qFormat/>
    <w:uiPriority w:val="0"/>
    <w:rPr>
      <w:rFonts w:ascii="宋体" w:cs="宋体"/>
      <w:sz w:val="16"/>
      <w:szCs w:val="16"/>
    </w:rPr>
  </w:style>
  <w:style w:type="paragraph" w:customStyle="1" w:styleId="45">
    <w:name w:val="c正文"/>
    <w:basedOn w:val="1"/>
    <w:qFormat/>
    <w:uiPriority w:val="99"/>
    <w:pPr>
      <w:adjustRightInd/>
      <w:textAlignment w:val="auto"/>
    </w:pPr>
    <w:rPr>
      <w:rFonts w:ascii="宋体" w:hAnsi="宋体" w:eastAsia="宋体" w:cs="Times New Roman"/>
      <w:kern w:val="2"/>
      <w:sz w:val="24"/>
    </w:rPr>
  </w:style>
  <w:style w:type="paragraph" w:customStyle="1" w:styleId="46">
    <w:name w:val="表格"/>
    <w:basedOn w:val="39"/>
    <w:qFormat/>
    <w:uiPriority w:val="0"/>
    <w:pPr>
      <w:spacing w:beforeLines="0" w:line="240" w:lineRule="auto"/>
    </w:pPr>
    <w:rPr>
      <w:b w:val="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7.jpeg"/><Relationship Id="rId51" Type="http://schemas.openxmlformats.org/officeDocument/2006/relationships/image" Target="media/image6.jpeg"/><Relationship Id="rId50" Type="http://schemas.openxmlformats.org/officeDocument/2006/relationships/image" Target="media/image5.jpeg"/><Relationship Id="rId5" Type="http://schemas.openxmlformats.org/officeDocument/2006/relationships/header" Target="header1.xml"/><Relationship Id="rId49" Type="http://schemas.openxmlformats.org/officeDocument/2006/relationships/image" Target="media/image4.jpeg"/><Relationship Id="rId48" Type="http://schemas.openxmlformats.org/officeDocument/2006/relationships/image" Target="media/image3.jpeg"/><Relationship Id="rId47" Type="http://schemas.openxmlformats.org/officeDocument/2006/relationships/image" Target="media/image2.png"/><Relationship Id="rId46" Type="http://schemas.openxmlformats.org/officeDocument/2006/relationships/image" Target="media/image1.png"/><Relationship Id="rId45" Type="http://schemas.openxmlformats.org/officeDocument/2006/relationships/theme" Target="theme/theme1.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header" Target="header11.xml"/><Relationship Id="rId41" Type="http://schemas.openxmlformats.org/officeDocument/2006/relationships/header" Target="header10.xml"/><Relationship Id="rId40" Type="http://schemas.openxmlformats.org/officeDocument/2006/relationships/footer" Target="footer27.xml"/><Relationship Id="rId4" Type="http://schemas.openxmlformats.org/officeDocument/2006/relationships/endnotes" Target="endnotes.xml"/><Relationship Id="rId39" Type="http://schemas.openxmlformats.org/officeDocument/2006/relationships/footer" Target="footer26.xml"/><Relationship Id="rId38" Type="http://schemas.openxmlformats.org/officeDocument/2006/relationships/header" Target="header9.xml"/><Relationship Id="rId37" Type="http://schemas.openxmlformats.org/officeDocument/2006/relationships/header" Target="header8.xml"/><Relationship Id="rId36" Type="http://schemas.openxmlformats.org/officeDocument/2006/relationships/footer" Target="footer25.xml"/><Relationship Id="rId35" Type="http://schemas.openxmlformats.org/officeDocument/2006/relationships/footer" Target="footer24.xml"/><Relationship Id="rId34" Type="http://schemas.openxmlformats.org/officeDocument/2006/relationships/header" Target="header7.xml"/><Relationship Id="rId33" Type="http://schemas.openxmlformats.org/officeDocument/2006/relationships/header" Target="header6.xml"/><Relationship Id="rId32" Type="http://schemas.openxmlformats.org/officeDocument/2006/relationships/footer" Target="footer23.xml"/><Relationship Id="rId31" Type="http://schemas.openxmlformats.org/officeDocument/2006/relationships/footer" Target="footer22.xml"/><Relationship Id="rId30" Type="http://schemas.openxmlformats.org/officeDocument/2006/relationships/header" Target="header5.xml"/><Relationship Id="rId3" Type="http://schemas.openxmlformats.org/officeDocument/2006/relationships/footnotes" Target="footnotes.xml"/><Relationship Id="rId29" Type="http://schemas.openxmlformats.org/officeDocument/2006/relationships/footer" Target="footer21.xml"/><Relationship Id="rId28" Type="http://schemas.openxmlformats.org/officeDocument/2006/relationships/footer" Target="footer20.xml"/><Relationship Id="rId27" Type="http://schemas.openxmlformats.org/officeDocument/2006/relationships/footer" Target="footer19.xml"/><Relationship Id="rId26" Type="http://schemas.openxmlformats.org/officeDocument/2006/relationships/footer" Target="footer18.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408E7F-2267-4A46-8F05-3111A1954AA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113</Pages>
  <Words>48415</Words>
  <Characters>51645</Characters>
  <Lines>437</Lines>
  <Paragraphs>123</Paragraphs>
  <TotalTime>5</TotalTime>
  <ScaleCrop>false</ScaleCrop>
  <LinksUpToDate>false</LinksUpToDate>
  <CharactersWithSpaces>52088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2020-04-23T07:09:00Z</dcterms:created>
  <dc:creator>lhx</dc:creator>
  <cp:lastModifiedBy>Administrator</cp:lastModifiedBy>
  <dcterms:modified xsi:type="dcterms:W3CDTF">2023-07-06T06:39:55Z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0DC6F51106234EE6A437EBC0FD449598_12</vt:lpwstr>
  </property>
</Properties>
</file>