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default" w:ascii="方正小标宋简体" w:hAnsi="方正小标宋简体" w:eastAsia="方正小标宋简体" w:cs="方正小标宋简体"/>
          <w:kern w:val="0"/>
          <w:sz w:val="36"/>
          <w:szCs w:val="36"/>
          <w:shd w:val="clear" w:fill="FFFFFF"/>
        </w:rPr>
        <w:t>景洪市劳动就业服务中心2019年度部门决算公开报告</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目录</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第一部分  景洪市劳动就业服务中心概况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一、主要职能</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二、部门基本情况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第二部分  2019年度部门决算表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一、收入支出决算总表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二、收入决算表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三、支出决算表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四、财政拨款收入支出决算总表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五、一般公共预算财政拨款收入支出决算表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六、一般公共预算财政拨款基本支出决算表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七、政府性基金预算财政拨款收入支出决算表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八、“三公”经费、行政参公单位机关运行经费情况表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第三部分  2019年度部门决算情况说明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一、收入决算情况说明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二、支出决算情况说明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三、一般公共预算财政拨款支出决算情况说明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四、一般公共预算财政拨款“三公”经费支出决算情况说明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第四部分  其他重要事项及相关口径情况说明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一、机关运行经费支出情况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二、国有资产占有情况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三、政府采购支出情况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四、部门绩效自评情况</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（一）项目支出绩效自评报告（表）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（二）部门整体支出绩效自评报告</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（三）部门整体支出绩效自评表</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五、其他重要事项情况说明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六、相关口径说明</w:t>
      </w:r>
    </w:p>
    <w:p>
      <w:pPr>
        <w:keepNext w:val="0"/>
        <w:keepLines w:val="0"/>
        <w:widowControl/>
        <w:suppressLineNumbers w:val="0"/>
        <w:adjustRightInd w:val="0"/>
        <w:spacing w:before="0" w:beforeAutospacing="0" w:after="0" w:afterAutospacing="1" w:line="59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第五部分  名词解释</w:t>
      </w:r>
    </w:p>
    <w:p>
      <w:pPr>
        <w:keepNext w:val="0"/>
        <w:keepLines w:val="0"/>
        <w:widowControl/>
        <w:suppressLineNumbers w:val="0"/>
        <w:adjustRightInd w:val="0"/>
        <w:spacing w:before="0" w:beforeAutospacing="0" w:after="0" w:afterAutospacing="1" w:line="60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60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60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600" w:lineRule="exact"/>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第一部分  景洪市劳动就业服务中心概况</w:t>
      </w:r>
    </w:p>
    <w:p>
      <w:pPr>
        <w:keepNext w:val="0"/>
        <w:keepLines w:val="0"/>
        <w:widowControl/>
        <w:suppressLineNumbers w:val="0"/>
        <w:autoSpaceDE w:val="0"/>
        <w:autoSpaceDN/>
        <w:adjustRightInd w:val="0"/>
        <w:spacing w:before="0" w:beforeAutospacing="0" w:after="0" w:afterAutospacing="0"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一、主要职能</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景洪市劳动就业服务中心隶属于景洪市人力资源和社会保障局，是承担政府行政职能的公共就业服务机构，主要负责全市的就业创业服务工作。本中心将秉承以人为本的服务理念，竭诚为广大劳动者和各类用人单位提供各项公共就业服务。</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主要业务如下： </w:t>
      </w:r>
    </w:p>
    <w:p>
      <w:pPr>
        <w:keepNext w:val="0"/>
        <w:keepLines w:val="0"/>
        <w:widowControl/>
        <w:suppressLineNumbers w:val="0"/>
        <w:autoSpaceDE w:val="0"/>
        <w:autoSpaceDN/>
        <w:snapToGrid w:val="0"/>
        <w:spacing w:line="590" w:lineRule="exact"/>
        <w:ind w:left="0" w:firstLine="720" w:firstLineChars="300"/>
        <w:rPr>
          <w:rFonts w:hint="eastAsia" w:ascii="宋体" w:hAnsi="宋体" w:eastAsia="宋体" w:cs="宋体"/>
          <w:kern w:val="0"/>
          <w:sz w:val="24"/>
          <w:szCs w:val="24"/>
        </w:rPr>
      </w:pPr>
      <w:r>
        <w:rPr>
          <w:rFonts w:hint="eastAsia" w:ascii="宋体" w:hAnsi="宋体" w:eastAsia="宋体" w:cs="宋体"/>
          <w:kern w:val="0"/>
          <w:sz w:val="24"/>
          <w:szCs w:val="24"/>
        </w:rPr>
        <w:t xml:space="preserve">(1)、就业与再就业服务 </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主要负责《就业创业证》管理发放、就业援助、就业困难人员和零就业家庭认定、公益性岗位开发、就业困难人员灵活就业社保补贴审核、发放，农村劳动力转移就业等。</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（2）、职业技能培训服务  </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主要负责各类职业技能培训，失业人员再就业培训。</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（3）、失业保险服务  </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主要负责单位职工参保缴费台账管理、失业保险基金管理、失业登记办理、失业保险待遇申领受理与待遇核定、失业保险金发放等。</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4）、企业职工档案托管服务  </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主要负责国有、集体企业职工档案接收管理、档案查询等服务。</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（5）、鼓励“贷免扶补”创业担保贷款。</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 （6）、职业介绍服务  </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主要是为各类求职人员提供求职登记、职业指导和推荐介绍工作等服务；为各类用人单位提供现场招聘、专场招聘服务。</w:t>
      </w:r>
    </w:p>
    <w:p>
      <w:pPr>
        <w:keepNext w:val="0"/>
        <w:keepLines w:val="0"/>
        <w:widowControl/>
        <w:suppressLineNumbers w:val="0"/>
        <w:adjustRightInd w:val="0"/>
        <w:spacing w:before="0" w:beforeAutospacing="0" w:after="0" w:afterAutospacing="1" w:line="590" w:lineRule="exact"/>
        <w:ind w:left="0" w:right="0" w:firstLine="480" w:firstLineChars="2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（二）2019年度重点工作任务介绍</w:t>
      </w:r>
    </w:p>
    <w:p>
      <w:pPr>
        <w:keepNext w:val="0"/>
        <w:keepLines w:val="0"/>
        <w:widowControl/>
        <w:suppressLineNumbers w:val="0"/>
        <w:adjustRightInd w:val="0"/>
        <w:spacing w:before="0" w:beforeAutospacing="0" w:after="0" w:afterAutospacing="1" w:line="590" w:lineRule="exact"/>
        <w:ind w:left="0" w:right="0"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我中心将以党的十九大提出的“就业是最大的民生”为指导思想，认真贯彻落实党的十九大精神，进一步做好当前和今后一段时期就业创业工作，坚持就业优先战略和积极的就业政策，实现更高质量和更加充分就业。就业是最大的民生，也是经济发展最基本的支撑。今年来，在市委、市政府坚强领导和上级业务部门的精心指导下，景洪市劳动就业服务中心以实现更高质量和更充分就业为目标。积极落实就业创业、就业扶贫优惠政策，真抓实干、锐意进取，就业创业工作呈现蓬勃生机和活力。具体情况如下：</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1、工作开展情况</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今年来，实现城镇新增就业3440人，完成目标任务3100人的111%；城镇下岗失业人员再就业1814人，完成目标任务1800人的100%；其中：就业困难人员再就业1507人，完成目标任务1500人的100%。帮助城镇“零就业”家庭实现就业1户，确保动态清零；开发162家机关事业单位公益性岗位582个；城镇登记失业人员915人，城镇登记失业率2.98%，控制在目标任务3.5%以内。新增办理就业创业证7442本。创业担保贷款扶持创业590人，完成目标任务590人的100%，发放贷款8297万元，完成目标任务7400万元的121%，其中：“贷免扶补”扶持创业210人，完成目标任务210人的100%，发放贷款2655万元；担保小额贷款扶持创业379人，完成目标任务379人的100%，发放贷款5572万元；小微企业创业担保扶持创业1人，完成目标任务1人的100%，发放贷款70万元。景洪市共扶持大学生创业5人。2020届毕业生求职创业补贴11人，每人1000元。失业保险参保单位1272家，参保28953人，完成目标任务28900人的100.2%；共征缴失业保险费839.219661万元。新增农村劳动力转移就业2048人，完成目标任务1800人的113.8%，其中建档立卡贫困劳动力转移就业597人，完成目标任务465人的128.4%。</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2、工作措施和主要做法</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一）抓牢就业服务，落实就业政策。一是开展“就业援助月”、“春风行动”、“民营企业招聘周”专项活动，举办5场现场招聘会，共提供就业岗位5520个，登记求职人员483人，达成意向人数244人次，帮助就业困难人员就业及农村富余劳动力转移，缓解城镇就业压力。二是做好重点群体的就业服务工作。加大促进就业困难人员实现就业力度，继续促进就业困难人员实现就业，开发162家机关事业单位公益性岗位582个，切实解决就业困难人员实现就业，确保社会稳定。</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二）抓好创业创新工作，发挥创业带动就业的倍增效应。继续加大创业担保贷款扶持力度，将贷款最高额度由10万元提升到15万元。截止目前，创业担保贷款扶持创业590人，完成目标任务590人的100%，发放贷款8297万元，完成目标任务7400万元的121%，其中：“贷免扶补”扶持创业210人，完成目标任务210人的100%，发放贷款2655万元；担保小额贷款扶持创业379人，完成目标任务379人的100%，发放贷款5572万元；小微企业创业担保扶持创业1人，完成目标任务1人的100%，发放贷款70万元。景洪市共扶持大学生创业5人。2020届毕业生求职创业补贴11人，每人1000元。</w:t>
      </w:r>
    </w:p>
    <w:p>
      <w:pPr>
        <w:keepNext w:val="0"/>
        <w:keepLines w:val="0"/>
        <w:widowControl/>
        <w:suppressLineNumbers w:val="0"/>
        <w:autoSpaceDE w:val="0"/>
        <w:autoSpaceDN/>
        <w:snapToGrid w:val="0"/>
        <w:spacing w:line="590" w:lineRule="exact"/>
        <w:ind w:left="0"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 xml:space="preserve">（三）抓实技能提升，精准培训，精准扶贫。根据就业扶贫相关要求，大力推进农村劳动力精准培训，进一步通过转移就业实现脱贫增收。强化宣传动员，因地制宜确定培训项目，围绕我市高原热区产业特色和贫困人员的培训需求确定乡村养老护理员、橡胶栽培割胶、普洱茶加工、家禽养殖、农家菜烹饪等培训项目，注重培训实效，把培训工作做到倾听民意、问需于民，使培训从“端菜式”到“点菜式”转变，强化跟踪服务，为确保培训能让农村劳动力“听得懂、学得会、用得上”，人力资源社会保障部门积极与培训机构对接，使每期培训“前期有计划，中期有监督，后期有考核”。截止目前，景洪市共开展各类培训21744人次（人社部门5730人），完成目标任务18000人次的121%，其中建档立卡11659人次（人社部门1708人），完成目标任务1500人的777%。 </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二、部门基本情况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（一）部门决算单位构成</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rPr>
      </w:pPr>
      <w:r>
        <w:rPr>
          <w:rFonts w:hint="eastAsia" w:ascii="宋体" w:hAnsi="宋体" w:eastAsia="宋体" w:cs="宋体"/>
          <w:kern w:val="0"/>
          <w:sz w:val="24"/>
          <w:szCs w:val="24"/>
          <w:shd w:val="clear" w:fill="FFFFFF"/>
        </w:rPr>
        <w:t>纳入景洪市劳动就业服务中心2019年度部门决算编报的单位共1个。其中：行政单位0个，参照公务员法管理的事业单位1个，其他事业单位0个。</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（二）部门人员和车辆的编制及实有情况 </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景洪市劳动就业服务中心2019年末实有人员编制13人。其中：行政编制0人（含行政工勤编制0人），事业编制13人（含参公管理事业编制13人）；在职在编实有行政人员0人（含行政工勤人员0人），事业人员13人（含参公管理事业人员13人），其他人员10人</w:t>
      </w:r>
      <w:r>
        <w:rPr>
          <w:rFonts w:hint="eastAsia" w:cs="宋体"/>
          <w:kern w:val="0"/>
          <w:sz w:val="24"/>
          <w:szCs w:val="24"/>
          <w:shd w:val="clear" w:fill="FFFFFF"/>
          <w:lang w:val="en-US" w:eastAsia="zh-CN"/>
        </w:rPr>
        <w:t>,</w:t>
      </w:r>
      <w:r>
        <w:rPr>
          <w:rFonts w:hint="eastAsia" w:ascii="宋体" w:hAnsi="宋体" w:eastAsia="宋体" w:cs="宋体"/>
          <w:kern w:val="0"/>
          <w:sz w:val="24"/>
          <w:szCs w:val="24"/>
          <w:shd w:val="clear" w:fill="FFFFFF"/>
        </w:rPr>
        <w:t>主要是年末实有长期聘用编外人员10人。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rPr>
      </w:pPr>
      <w:r>
        <w:rPr>
          <w:rFonts w:hint="eastAsia" w:ascii="宋体" w:hAnsi="宋体" w:eastAsia="宋体" w:cs="宋体"/>
          <w:kern w:val="0"/>
          <w:sz w:val="24"/>
          <w:szCs w:val="24"/>
          <w:shd w:val="clear" w:fill="FFFFFF"/>
        </w:rPr>
        <w:t>离退休人员0.00人。其中：离休0人，退休0人。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实有车辆编制0辆，在编实有车辆0辆。</w:t>
      </w:r>
    </w:p>
    <w:p>
      <w:r>
        <w:rPr>
          <w:rFonts w:hint="eastAsia"/>
          <w:lang w:val="en-US" w:eastAsia="zh-CN"/>
        </w:rPr>
        <w:t xml:space="preserve">   </w:t>
      </w:r>
    </w:p>
    <w:p/>
    <w:p>
      <w:r>
        <w:drawing>
          <wp:inline distT="0" distB="0" distL="114300" distR="114300">
            <wp:extent cx="5105400" cy="3342005"/>
            <wp:effectExtent l="4445" t="4445" r="14605" b="635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rPr>
      </w:pPr>
      <w:r>
        <w:rPr>
          <w:rFonts w:hint="eastAsia" w:ascii="宋体" w:hAnsi="宋体" w:eastAsia="宋体" w:cs="宋体"/>
          <w:kern w:val="0"/>
          <w:sz w:val="24"/>
          <w:szCs w:val="24"/>
          <w:shd w:val="clear" w:fill="FFFFFF"/>
        </w:rPr>
        <w:t>第二部分  2019年度部门决算表</w:t>
      </w:r>
    </w:p>
    <w:p>
      <w:pPr>
        <w:keepNext w:val="0"/>
        <w:keepLines w:val="0"/>
        <w:widowControl/>
        <w:suppressLineNumbers w:val="0"/>
        <w:spacing w:before="0" w:beforeAutospacing="0" w:after="0" w:afterAutospacing="1" w:line="590" w:lineRule="atLeast"/>
        <w:ind w:left="0" w:right="0" w:firstLine="60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（详见附件）</w:t>
      </w:r>
    </w:p>
    <w:p>
      <w:pPr>
        <w:keepNext w:val="0"/>
        <w:keepLines w:val="0"/>
        <w:widowControl/>
        <w:suppressLineNumbers w:val="0"/>
        <w:adjustRightInd w:val="0"/>
        <w:spacing w:before="0" w:beforeAutospacing="0" w:after="0" w:afterAutospacing="1" w:line="590" w:lineRule="exact"/>
        <w:ind w:left="0" w:right="0" w:firstLine="60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第三部分  2019年度部门决算情况说明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一、收入决算情况说明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color w:val="0000FF"/>
          <w:kern w:val="0"/>
          <w:sz w:val="24"/>
          <w:szCs w:val="24"/>
          <w:shd w:val="clear" w:fill="FFFFFF"/>
        </w:rPr>
      </w:pPr>
      <w:r>
        <w:rPr>
          <w:rFonts w:hint="eastAsia" w:ascii="宋体" w:hAnsi="宋体" w:eastAsia="宋体" w:cs="宋体"/>
          <w:kern w:val="0"/>
          <w:sz w:val="24"/>
          <w:szCs w:val="24"/>
          <w:shd w:val="clear" w:fill="FFFFFF"/>
        </w:rPr>
        <w:t>景洪市劳动就业服务中心2019年度收入合计43,771,880.16元。其中：财政拨款收入43,646,960.18元，占总收入的99.71%；上级补助收入0.00元，占总收入的0.00%；事业收入0.00元，占总收入的0.00%；经营收入0.00元，占总收入的0.00%；附属单位缴款收入0.00元，占总收入的0.00%；其他收入124,919.98元，占总收入的0.29%。财政拨款收入与上年对比增加15,307,154.01元，增加54.01%，主要原因是增加2080799其他就业补助支出（公益性岗位中央就业补助资金）15,800,000元。</w:t>
      </w:r>
      <w:r>
        <w:rPr>
          <w:rFonts w:hint="eastAsia" w:ascii="宋体" w:hAnsi="宋体" w:eastAsia="宋体" w:cs="宋体"/>
          <w:kern w:val="0"/>
          <w:sz w:val="24"/>
          <w:szCs w:val="24"/>
        </w:rPr>
        <w:t>其他收入减少106,225元，减少45.96%，主要原因是减少2080799网络创业培训目标任务专项资金60,000元，2080109劳动力转移监测工作经费16,000元，劳动就业服务中心转入公益性岗位人员工资及社会保险30,225元</w:t>
      </w:r>
      <w:r>
        <w:rPr>
          <w:rFonts w:hint="eastAsia" w:ascii="宋体" w:hAnsi="宋体" w:eastAsia="宋体" w:cs="宋体"/>
          <w:color w:val="0000FF"/>
          <w:kern w:val="0"/>
          <w:sz w:val="24"/>
          <w:szCs w:val="24"/>
          <w:shd w:val="clear" w:fill="FFFFFF"/>
        </w:rPr>
        <w:t>。</w:t>
      </w:r>
    </w:p>
    <w:p>
      <w:r>
        <w:rPr>
          <w:rFonts w:hint="eastAsia"/>
          <w:lang w:val="en-US" w:eastAsia="zh-CN"/>
        </w:rPr>
        <w:t xml:space="preserve">    </w:t>
      </w:r>
    </w:p>
    <w:p>
      <w:r>
        <w:drawing>
          <wp:inline distT="0" distB="0" distL="114300" distR="114300">
            <wp:extent cx="4770755" cy="3727450"/>
            <wp:effectExtent l="4445" t="4445" r="6350" b="2095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二、支出决算情况说明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rPr>
      </w:pPr>
      <w:r>
        <w:rPr>
          <w:rFonts w:hint="eastAsia" w:ascii="宋体" w:hAnsi="宋体" w:eastAsia="宋体" w:cs="宋体"/>
          <w:kern w:val="0"/>
          <w:sz w:val="24"/>
          <w:szCs w:val="24"/>
          <w:shd w:val="clear" w:fill="FFFFFF"/>
        </w:rPr>
        <w:t>景洪市劳动就业服务中心2019年度支出合计41,538,703.87元。其中：基本支出2,986,052.94元，占总支出的7.19%；项目支出38,552,650.93元，占总支出的92.81%；上缴上级支出、经营支出、对附属单位补助支出共0.00元，占总支出的0.00%。与上年对比增加12,940,869.17,增加45.25%，</w:t>
      </w:r>
      <w:r>
        <w:rPr>
          <w:rFonts w:hint="eastAsia" w:ascii="宋体" w:hAnsi="宋体" w:eastAsia="宋体" w:cs="宋体"/>
          <w:kern w:val="0"/>
          <w:sz w:val="24"/>
          <w:szCs w:val="24"/>
        </w:rPr>
        <w:t>主要原因是</w:t>
      </w:r>
      <w:r>
        <w:rPr>
          <w:rFonts w:hint="eastAsia" w:ascii="宋体" w:hAnsi="宋体" w:eastAsia="宋体" w:cs="宋体"/>
          <w:kern w:val="0"/>
          <w:sz w:val="24"/>
          <w:szCs w:val="24"/>
          <w:shd w:val="clear" w:fill="FFFFFF"/>
        </w:rPr>
        <w:t>增加2080799其他就业补助支出（公益性岗位中央补助）30,000,000元，比上年14,200,000元增大了15,800,000元</w:t>
      </w:r>
      <w:r>
        <w:rPr>
          <w:rFonts w:hint="eastAsia" w:ascii="宋体" w:hAnsi="宋体" w:eastAsia="宋体" w:cs="宋体"/>
          <w:kern w:val="0"/>
          <w:sz w:val="24"/>
          <w:szCs w:val="24"/>
        </w:rPr>
        <w:t>。</w:t>
      </w:r>
    </w:p>
    <w:p>
      <w:pPr>
        <w:jc w:val="both"/>
      </w:pPr>
    </w:p>
    <w:p>
      <w:r>
        <w:drawing>
          <wp:inline distT="0" distB="0" distL="114300" distR="114300">
            <wp:extent cx="4855210" cy="3738880"/>
            <wp:effectExtent l="4445" t="4445" r="17145" b="952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（一）基本支出情况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color w:val="FF0000"/>
          <w:kern w:val="0"/>
          <w:sz w:val="24"/>
          <w:szCs w:val="24"/>
          <w:shd w:val="clear" w:fill="FFFFFF"/>
        </w:rPr>
      </w:pPr>
      <w:r>
        <w:rPr>
          <w:rFonts w:hint="eastAsia" w:ascii="宋体" w:hAnsi="宋体" w:eastAsia="宋体" w:cs="宋体"/>
          <w:kern w:val="0"/>
          <w:sz w:val="24"/>
          <w:szCs w:val="24"/>
          <w:shd w:val="clear" w:fill="FFFFFF"/>
        </w:rPr>
        <w:t>2019年度用于保障景洪市劳动就业服务中心机关、下属事业单位等机构正常运转的日常支出2,986,052.94元。与上年对比增加90,535.31元，增加3.13%，</w:t>
      </w:r>
      <w:r>
        <w:rPr>
          <w:rFonts w:hint="eastAsia" w:ascii="宋体" w:hAnsi="宋体" w:eastAsia="宋体" w:cs="宋体"/>
          <w:kern w:val="0"/>
          <w:sz w:val="24"/>
          <w:szCs w:val="24"/>
        </w:rPr>
        <w:t>增加主要原因用于人员工资、人员经费支出等</w:t>
      </w:r>
      <w:r>
        <w:rPr>
          <w:rFonts w:hint="eastAsia" w:ascii="宋体" w:hAnsi="宋体" w:eastAsia="宋体" w:cs="宋体"/>
          <w:kern w:val="0"/>
          <w:sz w:val="24"/>
          <w:szCs w:val="24"/>
          <w:shd w:val="clear" w:fill="FFFFFF"/>
        </w:rPr>
        <w:t>。包括基本工资、津贴补贴等人员经费支出占基本支出的93.29%；办公费、印刷费、水电费、办公设备购置等日常公用经费占基本支出的6.71%。</w:t>
      </w:r>
      <w:bookmarkStart w:id="0" w:name="_GoBack"/>
      <w:bookmarkEnd w:id="0"/>
    </w:p>
    <w:p>
      <w:pPr>
        <w:rPr>
          <w:rFonts w:hint="eastAsia" w:eastAsia="宋体"/>
          <w:lang w:val="en-US" w:eastAsia="zh-CN"/>
        </w:rPr>
      </w:pPr>
      <w:r>
        <w:rPr>
          <w:rFonts w:hint="eastAsia"/>
          <w:lang w:val="en-US" w:eastAsia="zh-CN"/>
        </w:rPr>
        <w:t xml:space="preserve"> </w:t>
      </w:r>
    </w:p>
    <w:p>
      <w:pPr>
        <w:jc w:val="center"/>
      </w:pPr>
      <w:r>
        <w:drawing>
          <wp:inline distT="0" distB="0" distL="114300" distR="114300">
            <wp:extent cx="5081270" cy="3618230"/>
            <wp:effectExtent l="4445" t="4445" r="19685" b="1587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（二）项目支出情况</w:t>
      </w:r>
    </w:p>
    <w:p>
      <w:pPr>
        <w:keepNext w:val="0"/>
        <w:keepLines w:val="0"/>
        <w:widowControl/>
        <w:suppressLineNumbers w:val="0"/>
        <w:snapToGrid w:val="0"/>
        <w:spacing w:line="520" w:lineRule="exact"/>
        <w:ind w:left="0" w:firstLine="480" w:firstLineChars="2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2019年度用于保障景洪市劳动就业服务中心机构、下属事业单位等机构为完成特定的行政工作任务或事业发展目标，用于专项业务工作的经费支出38,552,650.93元。与上年对比增加12,850,333.86元，增加45.50%，主要原因是支付2080799其他就业补助支出（公益性岗位中央补助）30,000,000.00元，比上年拨入14,200,000.00元增加了15,800,000.00元</w:t>
      </w:r>
      <w:r>
        <w:rPr>
          <w:rFonts w:hint="default" w:ascii="仿宋_GB2312" w:hAnsi="仿宋" w:eastAsia="仿宋_GB2312" w:cs="仿宋_GB2312"/>
          <w:kern w:val="0"/>
          <w:sz w:val="32"/>
          <w:szCs w:val="32"/>
          <w:shd w:val="clear" w:fill="FFFFFF"/>
        </w:rPr>
        <w:t>。</w:t>
      </w:r>
      <w:r>
        <w:rPr>
          <w:rFonts w:hint="eastAsia" w:ascii="宋体" w:hAnsi="宋体" w:eastAsia="宋体" w:cs="宋体"/>
          <w:kern w:val="0"/>
          <w:sz w:val="24"/>
          <w:szCs w:val="24"/>
          <w:shd w:val="clear" w:fill="FFFFFF"/>
        </w:rPr>
        <w:t>具体项目开支及开展工作情况：（1）、预算内资金项目支出3854.67万元，主要用于商品和服务支出3119.38万元（主要是转拨公益性岗位人员工资及社会保险补贴3713.44万元）；对个人和家庭的补助134.47万元（主要是支付国企下岗职工社会保险补贴119.47万元，云岭大学生扶持资金15万元）；其他资本性支出1.42万元（主要用于购买3台电脑和1台打印机）。（2）、其他资金项目支出0.60万元，其中委托业务费支出0.6万元（农村劳动力转移监测工作经费）。</w:t>
      </w:r>
    </w:p>
    <w:p>
      <w:pPr>
        <w:keepNext w:val="0"/>
        <w:keepLines w:val="0"/>
        <w:widowControl/>
        <w:suppressLineNumbers w:val="0"/>
        <w:snapToGrid w:val="0"/>
        <w:spacing w:before="0" w:beforeAutospacing="0" w:line="360" w:lineRule="auto"/>
        <w:ind w:left="0" w:firstLine="840" w:firstLineChars="300"/>
        <w:rPr>
          <w:rFonts w:hint="eastAsia" w:ascii="宋体" w:hAnsi="宋体" w:eastAsia="宋体" w:cs="宋体"/>
          <w:color w:val="auto"/>
          <w:kern w:val="0"/>
          <w:sz w:val="28"/>
          <w:szCs w:val="28"/>
        </w:rPr>
      </w:pPr>
    </w:p>
    <w:p>
      <w:pPr>
        <w:jc w:val="center"/>
      </w:pPr>
      <w:r>
        <w:drawing>
          <wp:inline distT="0" distB="0" distL="114300" distR="114300">
            <wp:extent cx="4542790" cy="3415030"/>
            <wp:effectExtent l="4445" t="4445" r="5715" b="9525"/>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三、一般公共预算财政拨款支出决算情况说明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（一）一般公共预算财政拨款支出决算总体情况</w:t>
      </w:r>
    </w:p>
    <w:p>
      <w:pPr>
        <w:keepNext w:val="0"/>
        <w:keepLines w:val="0"/>
        <w:widowControl/>
        <w:suppressLineNumbers w:val="0"/>
        <w:snapToGrid w:val="0"/>
        <w:spacing w:before="100" w:beforeAutospacing="0" w:after="100" w:afterAutospacing="0" w:line="600" w:lineRule="exact"/>
        <w:ind w:left="0" w:right="0" w:firstLine="600"/>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景洪市劳动就业服务中心2019年度一般公共预算财政拨款支出41,407,468.22元,占本年支出合计的99.68%。与上年对比增加13,032,778.50元,增加45.93%，</w:t>
      </w:r>
      <w:r>
        <w:rPr>
          <w:rFonts w:hint="eastAsia" w:ascii="宋体" w:hAnsi="宋体" w:eastAsia="宋体" w:cs="宋体"/>
          <w:kern w:val="0"/>
          <w:sz w:val="24"/>
          <w:szCs w:val="24"/>
        </w:rPr>
        <w:t>主要原因是增加了大学生创业补贴资金、公益性岗位补贴资金等。</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（二）一般公共预算财政拨款支出决算具体情况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1.一般公共服务（类）支出0.00元，占一般公共预算财政拨款总支出的0.00%。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2.外交（类）支出0.00元，占一般公共预算财政拨款总支出的0.00%。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3.国防（类）支出0.00元，占一般公共预算财政拨款总支出的0.00%。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4.公共安全（类）支出0.00元，占一般公共预算财政拨款总支出的0.00%。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5.教育（类）支出0.00元，占一般公共预算财政拨款总支出的0.00%。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6.科学技术（类）支出0.00元，占一般公共预算财政拨款总支出的0.00%。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7.文化旅游体育与传媒（类）支出0.00元，占一般公共预算财政拨款总支出的0.00%。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8.社会保障和就业（类）支出41,086,514.77元，占一般公共预算财政拨款总支出的99.22%。主要用于(1)人力资源和社会保障管理事务2,441,188.25元对劳动就业服务中心在职在编人员工资、绩效、公务交通补贴、工伤、生育保险支出及创业小额担保贷款工作经费支出等</w:t>
      </w:r>
      <w:r>
        <w:rPr>
          <w:rFonts w:hint="eastAsia" w:cs="宋体"/>
          <w:kern w:val="0"/>
          <w:sz w:val="24"/>
          <w:szCs w:val="24"/>
          <w:shd w:val="clear" w:fill="FFFFFF"/>
          <w:lang w:eastAsia="zh-CN"/>
        </w:rPr>
        <w:t>；</w:t>
      </w:r>
      <w:r>
        <w:rPr>
          <w:rFonts w:hint="eastAsia" w:ascii="宋体" w:hAnsi="宋体" w:eastAsia="宋体" w:cs="宋体"/>
          <w:kern w:val="0"/>
          <w:sz w:val="24"/>
          <w:szCs w:val="24"/>
          <w:shd w:val="clear" w:fill="FFFFFF"/>
        </w:rPr>
        <w:t>（2）行政事业单位离退休165,959.52元对机关事业单位基本养老保险、职业年金缴费以及其他行政事业单位离退休支出；（3）就业补助38,479,367元对国企下岗人员保险补贴及公益性岗位人员补贴支出、</w:t>
      </w:r>
      <w:r>
        <w:rPr>
          <w:rFonts w:hint="eastAsia" w:ascii="宋体" w:hAnsi="宋体" w:eastAsia="宋体" w:cs="宋体"/>
          <w:kern w:val="0"/>
          <w:sz w:val="24"/>
          <w:szCs w:val="24"/>
        </w:rPr>
        <w:t>大学生创业补贴资金等</w:t>
      </w:r>
      <w:r>
        <w:rPr>
          <w:rFonts w:hint="eastAsia" w:ascii="宋体" w:hAnsi="宋体" w:eastAsia="宋体" w:cs="宋体"/>
          <w:kern w:val="0"/>
          <w:sz w:val="24"/>
          <w:szCs w:val="24"/>
          <w:shd w:val="clear" w:fill="FFFFFF"/>
        </w:rPr>
        <w:t>；</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9.卫生健康（类）支出165,540.45元，占一般公共预算财政拨款总支出的0.40%。</w:t>
      </w:r>
      <w:r>
        <w:rPr>
          <w:rFonts w:hint="eastAsia" w:ascii="宋体" w:hAnsi="宋体" w:eastAsia="宋体" w:cs="宋体"/>
          <w:kern w:val="0"/>
          <w:sz w:val="24"/>
          <w:szCs w:val="24"/>
        </w:rPr>
        <w:t>主要用于机关事业单位工作人员公务员医疗补助、基本医疗保险缴费支出</w:t>
      </w:r>
      <w:r>
        <w:rPr>
          <w:rFonts w:hint="eastAsia" w:ascii="宋体" w:hAnsi="宋体" w:eastAsia="宋体" w:cs="宋体"/>
          <w:kern w:val="0"/>
          <w:sz w:val="24"/>
          <w:szCs w:val="24"/>
          <w:shd w:val="clear" w:fill="FFFFFF"/>
        </w:rPr>
        <w:t>；</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10.节能环保（类）支出0.00元，占一般公共预算财政拨款总支出的0.00%。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11.城乡社区（类）支出0.00元，占一般公共预算财政拨款总支出的0.00%。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12.农林水（类）支出20,000.00元，占一般公共预算财政拨款总支出的0.05%。主要用于邮电费、差旅费、办公费支出等；</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13.交通运输（类）支出0.00元，占一般公共预算财政拨款总支出的0.00%。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14.资源勘探信息等（类）支出0.00元，占一般公共预算财政拨款总支出的0.00%。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15.商业服务业等（类）支出0.00元，占一般公共预算财政拨款总支出的0.00%。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16.金融（类）支出0.00元，占一般公共预算财政拨款总支出的0.00%。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17.援助其他地区（类）支出0.00元，占一般公共预算财政拨款总支出的0.00%。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18.自然资源海洋气象等（类）支出0.00元，占一般公共预算财政拨款总支出的0.00%。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19.住房保障（类）支出135,413.00元，占一般公共预算财政拨款总支出的0.33%。</w:t>
      </w:r>
      <w:r>
        <w:rPr>
          <w:rFonts w:hint="eastAsia" w:ascii="宋体" w:hAnsi="宋体" w:eastAsia="宋体" w:cs="宋体"/>
          <w:kern w:val="0"/>
          <w:sz w:val="24"/>
          <w:szCs w:val="24"/>
        </w:rPr>
        <w:t>主要用于机关事业单位人员住房公积金缴费支出</w:t>
      </w:r>
      <w:r>
        <w:rPr>
          <w:rFonts w:hint="eastAsia" w:ascii="宋体" w:hAnsi="宋体" w:eastAsia="宋体" w:cs="宋体"/>
          <w:kern w:val="0"/>
          <w:sz w:val="24"/>
          <w:szCs w:val="24"/>
          <w:shd w:val="clear" w:fill="FFFFFF"/>
        </w:rPr>
        <w:t>；</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20.粮油物资储备（类）支出0.00元，占一般公共预算财政拨款总支出的0.00%。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21.灾害防治及应急管理（类）支出0.00元，占一般公共预算财政拨款总支出的0.00%。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22.其他（类）支出0.00元，占一般公共预算财政拨款总支出的0.00%。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23.债务还本（类）支出0.00元，占一般公共预算财政拨款总支出的0.00%。</w:t>
      </w:r>
      <w:r>
        <w:rPr>
          <w:rFonts w:hint="eastAsia" w:ascii="宋体" w:hAnsi="宋体" w:eastAsia="宋体" w:cs="宋体"/>
          <w:kern w:val="0"/>
          <w:sz w:val="24"/>
          <w:szCs w:val="24"/>
        </w:rPr>
        <w:t>我单位无此项支出；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rPr>
      </w:pPr>
      <w:r>
        <w:rPr>
          <w:rFonts w:hint="eastAsia" w:ascii="宋体" w:hAnsi="宋体" w:eastAsia="宋体" w:cs="宋体"/>
          <w:kern w:val="0"/>
          <w:sz w:val="24"/>
          <w:szCs w:val="24"/>
          <w:shd w:val="clear" w:fill="FFFFFF"/>
        </w:rPr>
        <w:t xml:space="preserve">  24.债务付息（类）支出0.00元，占一般公共预算财政拨款总支出的0.00%。</w:t>
      </w:r>
      <w:r>
        <w:rPr>
          <w:rFonts w:hint="eastAsia" w:ascii="宋体" w:hAnsi="宋体" w:eastAsia="宋体" w:cs="宋体"/>
          <w:kern w:val="0"/>
          <w:sz w:val="24"/>
          <w:szCs w:val="24"/>
        </w:rPr>
        <w:t>我单位无此项支出；</w:t>
      </w:r>
    </w:p>
    <w:p>
      <w:pPr>
        <w:jc w:val="center"/>
      </w:pPr>
      <w:r>
        <w:rPr>
          <w:rFonts w:hint="eastAsia"/>
          <w:lang w:val="en-US" w:eastAsia="zh-CN"/>
        </w:rPr>
        <w:t xml:space="preserve">     </w:t>
      </w:r>
      <w:r>
        <w:drawing>
          <wp:inline distT="0" distB="0" distL="114300" distR="114300">
            <wp:extent cx="4572000" cy="2971800"/>
            <wp:effectExtent l="4445" t="4445" r="14605" b="14605"/>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jc w:val="center"/>
      </w:pP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四、一般公共预算财政拨款“三公”经费支出决算情况说明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 一般公共预算财政拨款“三公”经费支出决算总体情况</w:t>
      </w:r>
    </w:p>
    <w:p>
      <w:pPr>
        <w:keepNext w:val="0"/>
        <w:keepLines w:val="0"/>
        <w:widowControl/>
        <w:suppressLineNumbers w:val="0"/>
        <w:autoSpaceDE w:val="0"/>
        <w:autoSpaceDN/>
        <w:snapToGrid w:val="0"/>
        <w:spacing w:before="100" w:beforeAutospacing="0" w:after="100" w:afterAutospacing="0" w:line="590" w:lineRule="exact"/>
        <w:ind w:left="0" w:leftChars="0" w:right="0" w:rightChars="0" w:firstLine="600" w:firstLineChars="0"/>
        <w:jc w:val="left"/>
        <w:rPr>
          <w:rFonts w:hint="eastAsia" w:ascii="宋体" w:hAnsi="宋体" w:eastAsia="宋体" w:cs="宋体"/>
          <w:color w:val="FF0000"/>
          <w:kern w:val="0"/>
          <w:sz w:val="24"/>
          <w:szCs w:val="24"/>
          <w:shd w:val="clear" w:fill="FFFFFF"/>
        </w:rPr>
      </w:pPr>
      <w:r>
        <w:rPr>
          <w:rFonts w:hint="eastAsia" w:ascii="宋体" w:hAnsi="宋体" w:eastAsia="宋体" w:cs="宋体"/>
          <w:kern w:val="0"/>
          <w:sz w:val="24"/>
          <w:szCs w:val="24"/>
          <w:shd w:val="clear" w:fill="FFFFFF"/>
        </w:rPr>
        <w:t>景洪市劳动就业服务中心2019年度一般公共预算财政拨款“三公”经费支出预算为4,000元，支出决算为0.00元，完成预算的0.00%。其中：因公出国（境）费支出决算为0.00元，完成预算的0.00%；公务用车购置及运行费支出决算为0.00元，完成预算的0.00%；公务接待费支出决算为0.00元，完成预算的0.00%。2019年度一般公共预算财政拨款“三公”经费支出决算数小于预算数的主要原因是我单位</w:t>
      </w:r>
      <w:r>
        <w:rPr>
          <w:rFonts w:hint="eastAsia" w:ascii="宋体" w:hAnsi="宋体" w:eastAsia="宋体" w:cs="宋体"/>
          <w:kern w:val="0"/>
          <w:sz w:val="24"/>
          <w:szCs w:val="24"/>
        </w:rPr>
        <w:t>认真贯彻落实中央八项规定精神，厉行节约，进一步从严控制“三公经费”支出，</w:t>
      </w:r>
      <w:r>
        <w:rPr>
          <w:rFonts w:hint="eastAsia" w:ascii="宋体" w:hAnsi="宋体" w:eastAsia="宋体" w:cs="宋体"/>
          <w:kern w:val="0"/>
          <w:sz w:val="24"/>
          <w:szCs w:val="24"/>
          <w:shd w:val="clear" w:fill="FFFFFF"/>
        </w:rPr>
        <w:t>压缩一切不必要的开支。</w:t>
      </w:r>
    </w:p>
    <w:p>
      <w:pPr>
        <w:keepNext w:val="0"/>
        <w:keepLines w:val="0"/>
        <w:widowControl/>
        <w:suppressLineNumbers w:val="0"/>
        <w:autoSpaceDE w:val="0"/>
        <w:autoSpaceDN/>
        <w:snapToGrid w:val="0"/>
        <w:spacing w:before="100" w:beforeAutospacing="0" w:after="100" w:afterAutospacing="0" w:line="590" w:lineRule="exact"/>
        <w:ind w:left="0" w:leftChars="0" w:right="0" w:rightChars="0" w:firstLine="600" w:firstLineChars="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2019年度一般公共预算财政拨款“三公”经费支出决算数比2018年减少0.00元，与上年持平。其中：因公出国（境）费支出决算减少0.00元，下降0.00%；公务用车购置及运行费支出决算减少0.00元，下降0.00%；公务接待费支出决算减少0.00元，下降0.00%。</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 一般公共预算财政拨款“三公”经费支出决算具体情况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2019年度一般公共预算财政拨款“三公”经费支出决算中，因公出国（境）费支出0.00元，占0.00%；公务用车购置及运行维护费支出0.00元，占0.00%；公务接待费支出0.00元，占0.00%。具体情况如下：</w:t>
      </w:r>
    </w:p>
    <w:p>
      <w:pPr>
        <w:keepNext w:val="0"/>
        <w:keepLines w:val="0"/>
        <w:widowControl/>
        <w:suppressLineNumbers w:val="0"/>
        <w:adjustRightInd w:val="0"/>
        <w:spacing w:before="0" w:beforeAutospacing="0" w:after="0" w:afterAutospacing="1" w:line="590" w:lineRule="exact"/>
        <w:ind w:left="602" w:leftChars="0" w:right="0" w:rightChars="0"/>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1.因公出国（境）费</w:t>
      </w:r>
      <w:r>
        <w:rPr>
          <w:rFonts w:hint="eastAsia" w:ascii="宋体" w:hAnsi="宋体" w:eastAsia="宋体" w:cs="宋体"/>
          <w:kern w:val="0"/>
          <w:sz w:val="24"/>
          <w:szCs w:val="24"/>
          <w:shd w:val="clear" w:fill="FFFFFF"/>
        </w:rPr>
        <w:t>支出0.00元，共安排因公出国（境）团组0个，累计0人次。我单位无此项支出。</w:t>
      </w:r>
    </w:p>
    <w:p>
      <w:pPr>
        <w:keepNext w:val="0"/>
        <w:keepLines w:val="0"/>
        <w:widowControl/>
        <w:suppressLineNumbers w:val="0"/>
        <w:adjustRightInd w:val="0"/>
        <w:spacing w:before="0" w:beforeAutospacing="0" w:after="0" w:afterAutospacing="1" w:line="590" w:lineRule="exact"/>
        <w:ind w:left="602" w:leftChars="0" w:right="0" w:rightChars="0"/>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2.公务用车购置及运行维护费</w:t>
      </w:r>
      <w:r>
        <w:rPr>
          <w:rFonts w:hint="eastAsia" w:ascii="宋体" w:hAnsi="宋体" w:eastAsia="宋体" w:cs="宋体"/>
          <w:kern w:val="0"/>
          <w:sz w:val="24"/>
          <w:szCs w:val="24"/>
          <w:shd w:val="clear" w:fill="FFFFFF"/>
        </w:rPr>
        <w:t>支出0.00元。其中：</w:t>
      </w:r>
    </w:p>
    <w:p>
      <w:pPr>
        <w:keepNext w:val="0"/>
        <w:keepLines w:val="0"/>
        <w:widowControl/>
        <w:suppressLineNumbers w:val="0"/>
        <w:adjustRightInd w:val="0"/>
        <w:spacing w:before="0" w:beforeAutospacing="0" w:after="0" w:afterAutospacing="1" w:line="590" w:lineRule="exact"/>
        <w:ind w:left="0" w:right="0" w:firstLine="602"/>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公务用车购置</w:t>
      </w:r>
      <w:r>
        <w:rPr>
          <w:rFonts w:hint="eastAsia" w:ascii="宋体" w:hAnsi="宋体" w:eastAsia="宋体" w:cs="宋体"/>
          <w:kern w:val="0"/>
          <w:sz w:val="24"/>
          <w:szCs w:val="24"/>
          <w:shd w:val="clear" w:fill="FFFFFF"/>
        </w:rPr>
        <w:t>支出0.00元，购置车辆0辆。我单位无此项支出。</w:t>
      </w:r>
    </w:p>
    <w:p>
      <w:pPr>
        <w:keepNext w:val="0"/>
        <w:keepLines w:val="0"/>
        <w:widowControl/>
        <w:suppressLineNumbers w:val="0"/>
        <w:adjustRightInd w:val="0"/>
        <w:spacing w:before="0" w:beforeAutospacing="0" w:after="0" w:afterAutospacing="1" w:line="590" w:lineRule="exact"/>
        <w:ind w:left="0" w:right="0" w:firstLine="602"/>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公务用车运行维护</w:t>
      </w:r>
      <w:r>
        <w:rPr>
          <w:rFonts w:hint="eastAsia" w:ascii="宋体" w:hAnsi="宋体" w:eastAsia="宋体" w:cs="宋体"/>
          <w:kern w:val="0"/>
          <w:sz w:val="24"/>
          <w:szCs w:val="24"/>
          <w:shd w:val="clear" w:fill="FFFFFF"/>
        </w:rPr>
        <w:t>支出0.00元，开支财政拨款的公务用车保有量为0辆。我单位无此项支出。</w:t>
      </w:r>
    </w:p>
    <w:p>
      <w:pPr>
        <w:keepNext w:val="0"/>
        <w:keepLines w:val="0"/>
        <w:widowControl/>
        <w:suppressLineNumbers w:val="0"/>
        <w:adjustRightInd w:val="0"/>
        <w:spacing w:before="0" w:beforeAutospacing="0" w:after="0" w:afterAutospacing="1" w:line="590" w:lineRule="exact"/>
        <w:ind w:left="0" w:right="0" w:firstLine="602"/>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3.公务接待费</w:t>
      </w:r>
      <w:r>
        <w:rPr>
          <w:rFonts w:hint="eastAsia" w:ascii="宋体" w:hAnsi="宋体" w:eastAsia="宋体" w:cs="宋体"/>
          <w:kern w:val="0"/>
          <w:sz w:val="24"/>
          <w:szCs w:val="24"/>
          <w:shd w:val="clear" w:fill="FFFFFF"/>
        </w:rPr>
        <w:t>支出0.00元。其中：</w:t>
      </w:r>
    </w:p>
    <w:p>
      <w:pPr>
        <w:keepNext w:val="0"/>
        <w:keepLines w:val="0"/>
        <w:widowControl/>
        <w:suppressLineNumbers w:val="0"/>
        <w:adjustRightInd w:val="0"/>
        <w:spacing w:before="0" w:beforeAutospacing="0" w:after="0" w:afterAutospacing="1" w:line="590" w:lineRule="exact"/>
        <w:ind w:left="0" w:right="0" w:firstLine="602"/>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国内接待费</w:t>
      </w:r>
      <w:r>
        <w:rPr>
          <w:rFonts w:hint="eastAsia" w:ascii="宋体" w:hAnsi="宋体" w:eastAsia="宋体" w:cs="宋体"/>
          <w:kern w:val="0"/>
          <w:sz w:val="24"/>
          <w:szCs w:val="24"/>
          <w:shd w:val="clear" w:fill="FFFFFF"/>
        </w:rPr>
        <w:t>支出0.00元（其中：外事接待费支出0.00元），共安排国内公务接待0批次（其中：外事接待0批次），接待人次0人（其中：外事接待人次0人）。我单位无此项支出。</w:t>
      </w:r>
    </w:p>
    <w:p>
      <w:pPr>
        <w:keepNext w:val="0"/>
        <w:keepLines w:val="0"/>
        <w:widowControl/>
        <w:suppressLineNumbers w:val="0"/>
        <w:adjustRightInd w:val="0"/>
        <w:spacing w:before="0" w:beforeAutospacing="0" w:after="0" w:afterAutospacing="1" w:line="590" w:lineRule="exact"/>
        <w:ind w:left="0" w:right="0" w:firstLine="602"/>
        <w:jc w:val="left"/>
        <w:rPr>
          <w:rFonts w:hint="eastAsia" w:ascii="宋体" w:hAnsi="宋体" w:eastAsia="宋体" w:cs="宋体"/>
          <w:kern w:val="0"/>
          <w:sz w:val="24"/>
          <w:szCs w:val="24"/>
          <w:shd w:val="clear" w:fill="FFFFFF"/>
        </w:rPr>
      </w:pPr>
      <w:r>
        <w:rPr>
          <w:rFonts w:hint="eastAsia" w:ascii="宋体" w:hAnsi="宋体" w:eastAsia="宋体" w:cs="宋体"/>
          <w:b/>
          <w:kern w:val="0"/>
          <w:sz w:val="24"/>
          <w:szCs w:val="24"/>
          <w:shd w:val="clear" w:fill="FFFFFF"/>
        </w:rPr>
        <w:t>国（境）外接待费</w:t>
      </w:r>
      <w:r>
        <w:rPr>
          <w:rFonts w:hint="eastAsia" w:ascii="宋体" w:hAnsi="宋体" w:eastAsia="宋体" w:cs="宋体"/>
          <w:kern w:val="0"/>
          <w:sz w:val="24"/>
          <w:szCs w:val="24"/>
          <w:shd w:val="clear" w:fill="FFFFFF"/>
        </w:rPr>
        <w:t>支出0.00元，共安排国（境）外公务接待0批次，接待人次0人。我单位无此项支出。</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第四部分  其他重要事项及相关口径情况说明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一、机关运行经费支出情况</w:t>
      </w:r>
    </w:p>
    <w:p>
      <w:pPr>
        <w:keepNext w:val="0"/>
        <w:keepLines w:val="0"/>
        <w:widowControl/>
        <w:suppressLineNumbers w:val="0"/>
        <w:autoSpaceDE w:val="0"/>
        <w:autoSpaceDN/>
        <w:adjustRightInd w:val="0"/>
        <w:spacing w:before="0" w:beforeAutospacing="1" w:after="0" w:afterAutospacing="1" w:line="600" w:lineRule="exact"/>
        <w:ind w:left="0" w:right="0" w:firstLine="601"/>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景洪市劳动就业服务中心2019年机关运行经费支出200,339.83元（其中:行政单位0元，参照公务员法管理事业单位200,339.83元），与上年对比减少9,375.37元，下降4.47%，主要原因是基本支出决算表中的水费、会议费等开支较上年减少。部门机关运行经费主要用于</w:t>
      </w:r>
      <w:r>
        <w:rPr>
          <w:rFonts w:hint="eastAsia" w:ascii="宋体" w:hAnsi="宋体" w:eastAsia="宋体" w:cs="宋体"/>
          <w:kern w:val="0"/>
          <w:sz w:val="24"/>
          <w:szCs w:val="24"/>
        </w:rPr>
        <w:t>一般公共预算财政拨款安排的基本支出中的日常公用经费支出，包括办公费、差旅费、维修（护）费、公务用车运行维护费等。</w:t>
      </w:r>
    </w:p>
    <w:p>
      <w:pPr>
        <w:keepNext w:val="0"/>
        <w:keepLines w:val="0"/>
        <w:widowControl/>
        <w:suppressLineNumbers w:val="0"/>
        <w:adjustRightInd w:val="0"/>
        <w:spacing w:before="0" w:beforeAutospacing="1" w:after="0" w:afterAutospacing="1"/>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二、国有资产占用情况 </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截至2019年12月31日，景洪市劳动就业服务中心资产总额3,007,592.16元，其中，流动资产2,600,675.53元，固定资产1,100,701元，对外投资及有价证券0元，在建工程0元，无形资产0元，其他资产0元（具体内容详见附表）。与上年相比，本年资产总额增加1,902,595.25元，其中;流动资产增加1,946,550.14元，固定资产减少43,954.89元，对外投资及有价证券增加0元，在建工程增加0元，无形资产增加0元，其他资产增加0元。处置房屋建筑物0平方米，账面原值0元；处置车辆0辆，账面原值0元；报废报损资产0项，账面原值0元，实现资产处置收入0元；出租房屋0平方米，账面原值0元，实现资产使用收入0元。</w:t>
      </w:r>
    </w:p>
    <w:tbl>
      <w:tblPr>
        <w:tblStyle w:val="3"/>
        <w:tblW w:w="9234" w:type="dxa"/>
        <w:jc w:val="center"/>
        <w:tblInd w:w="5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23"/>
        <w:gridCol w:w="307"/>
        <w:gridCol w:w="1155"/>
        <w:gridCol w:w="1215"/>
        <w:gridCol w:w="870"/>
        <w:gridCol w:w="688"/>
        <w:gridCol w:w="350"/>
        <w:gridCol w:w="324"/>
        <w:gridCol w:w="693"/>
        <w:gridCol w:w="411"/>
        <w:gridCol w:w="439"/>
        <w:gridCol w:w="115"/>
        <w:gridCol w:w="370"/>
        <w:gridCol w:w="698"/>
        <w:gridCol w:w="126"/>
        <w:gridCol w:w="247"/>
        <w:gridCol w:w="10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gridAfter w:val="1"/>
          <w:wAfter w:w="1003" w:type="dxa"/>
          <w:trHeight w:val="390" w:hRule="atLeast"/>
          <w:jc w:val="center"/>
        </w:trPr>
        <w:tc>
          <w:tcPr>
            <w:tcW w:w="7858" w:type="dxa"/>
            <w:gridSpan w:val="14"/>
            <w:tcBorders>
              <w:top w:val="nil"/>
              <w:left w:val="nil"/>
              <w:bottom w:val="nil"/>
              <w:right w:val="nil"/>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default" w:ascii="仿宋_GB2312" w:hAnsi="宋体" w:eastAsia="仿宋_GB2312" w:cs="宋体"/>
                <w:b/>
                <w:color w:val="000000"/>
                <w:kern w:val="0"/>
                <w:sz w:val="30"/>
                <w:szCs w:val="30"/>
              </w:rPr>
            </w:pPr>
            <w:r>
              <w:rPr>
                <w:rFonts w:hint="default" w:ascii="仿宋_GB2312" w:hAnsi="宋体" w:eastAsia="仿宋_GB2312" w:cs="宋体"/>
                <w:b/>
                <w:color w:val="000000"/>
                <w:kern w:val="0"/>
                <w:sz w:val="30"/>
                <w:szCs w:val="30"/>
              </w:rPr>
              <w:t>国有资产占有使用情况表</w:t>
            </w: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270" w:hRule="atLeast"/>
          <w:jc w:val="center"/>
        </w:trPr>
        <w:tc>
          <w:tcPr>
            <w:tcW w:w="5132" w:type="dxa"/>
            <w:gridSpan w:val="8"/>
            <w:tcBorders>
              <w:top w:val="nil"/>
              <w:left w:val="nil"/>
              <w:bottom w:val="nil"/>
              <w:right w:val="nil"/>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693" w:type="dxa"/>
            <w:tcBorders>
              <w:top w:val="nil"/>
              <w:left w:val="nil"/>
              <w:bottom w:val="single" w:color="000000" w:sz="4" w:space="0"/>
              <w:right w:val="nil"/>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color w:val="000000"/>
                <w:kern w:val="0"/>
                <w:sz w:val="20"/>
                <w:szCs w:val="20"/>
              </w:rPr>
            </w:pPr>
          </w:p>
        </w:tc>
        <w:tc>
          <w:tcPr>
            <w:tcW w:w="2033" w:type="dxa"/>
            <w:gridSpan w:val="5"/>
            <w:tcBorders>
              <w:top w:val="nil"/>
              <w:left w:val="nil"/>
              <w:bottom w:val="single" w:color="000000" w:sz="4" w:space="0"/>
              <w:right w:val="nil"/>
            </w:tcBorders>
            <w:shd w:val="clear" w:color="auto" w:fill="FFFFFF"/>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单位：元</w:t>
            </w: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270" w:hRule="atLeast"/>
          <w:jc w:val="center"/>
        </w:trPr>
        <w:tc>
          <w:tcPr>
            <w:tcW w:w="22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项目</w:t>
            </w:r>
          </w:p>
        </w:tc>
        <w:tc>
          <w:tcPr>
            <w:tcW w:w="307"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155"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资产总额</w:t>
            </w:r>
          </w:p>
        </w:tc>
        <w:tc>
          <w:tcPr>
            <w:tcW w:w="1215"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流动资产</w:t>
            </w:r>
          </w:p>
        </w:tc>
        <w:tc>
          <w:tcPr>
            <w:tcW w:w="2925" w:type="dxa"/>
            <w:gridSpan w:val="5"/>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固定资产</w:t>
            </w:r>
          </w:p>
        </w:tc>
        <w:tc>
          <w:tcPr>
            <w:tcW w:w="411"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对外投资/有价证券</w:t>
            </w:r>
          </w:p>
        </w:tc>
        <w:tc>
          <w:tcPr>
            <w:tcW w:w="439"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在建工程</w:t>
            </w:r>
          </w:p>
        </w:tc>
        <w:tc>
          <w:tcPr>
            <w:tcW w:w="485"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无形资产</w:t>
            </w:r>
          </w:p>
        </w:tc>
        <w:tc>
          <w:tcPr>
            <w:tcW w:w="698"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其他资产</w:t>
            </w: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312" w:hRule="atLeast"/>
          <w:jc w:val="center"/>
        </w:trPr>
        <w:tc>
          <w:tcPr>
            <w:tcW w:w="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07"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1155"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121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870"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小计</w:t>
            </w:r>
          </w:p>
        </w:tc>
        <w:tc>
          <w:tcPr>
            <w:tcW w:w="688"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房屋构筑物</w:t>
            </w:r>
          </w:p>
        </w:tc>
        <w:tc>
          <w:tcPr>
            <w:tcW w:w="350"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车辆</w:t>
            </w:r>
          </w:p>
        </w:tc>
        <w:tc>
          <w:tcPr>
            <w:tcW w:w="324"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单价200万以上大型设备</w:t>
            </w:r>
          </w:p>
        </w:tc>
        <w:tc>
          <w:tcPr>
            <w:tcW w:w="693" w:type="dxa"/>
            <w:vMerge w:val="restart"/>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其他固定资产</w:t>
            </w:r>
          </w:p>
        </w:tc>
        <w:tc>
          <w:tcPr>
            <w:tcW w:w="411"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439"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485" w:type="dxa"/>
            <w:gridSpan w:val="2"/>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69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312" w:hRule="atLeast"/>
          <w:jc w:val="center"/>
        </w:trPr>
        <w:tc>
          <w:tcPr>
            <w:tcW w:w="22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07"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1155"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1215"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870"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688"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50"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24"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693" w:type="dxa"/>
            <w:vMerge w:val="continue"/>
            <w:tcBorders>
              <w:top w:val="nil"/>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411"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439"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485" w:type="dxa"/>
            <w:gridSpan w:val="2"/>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69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rPr>
                <w:rFonts w:hint="default" w:ascii="Times New Roman" w:hAnsi="Times New Roman" w:cs="Times New Roman"/>
                <w:sz w:val="20"/>
                <w:szCs w:val="20"/>
              </w:rPr>
            </w:pP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300" w:hRule="atLeast"/>
          <w:jc w:val="center"/>
        </w:trPr>
        <w:tc>
          <w:tcPr>
            <w:tcW w:w="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栏次</w:t>
            </w:r>
          </w:p>
        </w:tc>
        <w:tc>
          <w:tcPr>
            <w:tcW w:w="307"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0"/>
                <w:szCs w:val="20"/>
              </w:rPr>
            </w:pPr>
            <w:r>
              <w:rPr>
                <w:rFonts w:hint="eastAsia" w:ascii="宋体" w:hAnsi="宋体" w:eastAsia="宋体" w:cs="宋体"/>
                <w:kern w:val="0"/>
                <w:sz w:val="20"/>
                <w:szCs w:val="20"/>
              </w:rPr>
              <w:t> </w:t>
            </w:r>
          </w:p>
        </w:tc>
        <w:tc>
          <w:tcPr>
            <w:tcW w:w="1155"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1</w:t>
            </w:r>
          </w:p>
        </w:tc>
        <w:tc>
          <w:tcPr>
            <w:tcW w:w="1215"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2</w:t>
            </w:r>
          </w:p>
        </w:tc>
        <w:tc>
          <w:tcPr>
            <w:tcW w:w="87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3</w:t>
            </w:r>
          </w:p>
        </w:tc>
        <w:tc>
          <w:tcPr>
            <w:tcW w:w="688"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4</w:t>
            </w:r>
          </w:p>
        </w:tc>
        <w:tc>
          <w:tcPr>
            <w:tcW w:w="3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5</w:t>
            </w:r>
          </w:p>
        </w:tc>
        <w:tc>
          <w:tcPr>
            <w:tcW w:w="324"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6</w:t>
            </w:r>
          </w:p>
        </w:tc>
        <w:tc>
          <w:tcPr>
            <w:tcW w:w="6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7</w:t>
            </w:r>
          </w:p>
        </w:tc>
        <w:tc>
          <w:tcPr>
            <w:tcW w:w="411"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8</w:t>
            </w:r>
          </w:p>
        </w:tc>
        <w:tc>
          <w:tcPr>
            <w:tcW w:w="439"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9</w:t>
            </w:r>
          </w:p>
        </w:tc>
        <w:tc>
          <w:tcPr>
            <w:tcW w:w="485" w:type="dxa"/>
            <w:gridSpan w:val="2"/>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10</w:t>
            </w:r>
          </w:p>
        </w:tc>
        <w:tc>
          <w:tcPr>
            <w:tcW w:w="698"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11</w:t>
            </w: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gridAfter w:val="1"/>
          <w:wAfter w:w="1003" w:type="dxa"/>
          <w:trHeight w:val="775" w:hRule="atLeast"/>
          <w:jc w:val="center"/>
        </w:trPr>
        <w:tc>
          <w:tcPr>
            <w:tcW w:w="2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20"/>
                <w:szCs w:val="20"/>
              </w:rPr>
            </w:pPr>
            <w:r>
              <w:rPr>
                <w:rFonts w:hint="eastAsia" w:ascii="宋体" w:hAnsi="宋体" w:eastAsia="宋体" w:cs="宋体"/>
                <w:kern w:val="0"/>
                <w:sz w:val="20"/>
                <w:szCs w:val="20"/>
              </w:rPr>
              <w:t>合计</w:t>
            </w:r>
          </w:p>
        </w:tc>
        <w:tc>
          <w:tcPr>
            <w:tcW w:w="307"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rPr>
            </w:pPr>
            <w:r>
              <w:rPr>
                <w:rFonts w:hint="eastAsia" w:ascii="宋体" w:hAnsi="宋体" w:eastAsia="宋体" w:cs="宋体"/>
                <w:kern w:val="0"/>
                <w:sz w:val="18"/>
                <w:szCs w:val="18"/>
              </w:rPr>
              <w:t>1</w:t>
            </w:r>
          </w:p>
        </w:tc>
        <w:tc>
          <w:tcPr>
            <w:tcW w:w="1155"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rPr>
            </w:pPr>
            <w:r>
              <w:rPr>
                <w:rFonts w:hint="eastAsia" w:ascii="宋体" w:hAnsi="宋体" w:eastAsia="宋体" w:cs="宋体"/>
                <w:kern w:val="0"/>
                <w:sz w:val="18"/>
                <w:szCs w:val="18"/>
              </w:rPr>
              <w:t>3,007,592.16</w:t>
            </w:r>
          </w:p>
        </w:tc>
        <w:tc>
          <w:tcPr>
            <w:tcW w:w="1215"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r>
              <w:rPr>
                <w:rFonts w:hint="eastAsia" w:ascii="宋体" w:hAnsi="宋体" w:eastAsia="宋体" w:cs="宋体"/>
                <w:kern w:val="0"/>
                <w:sz w:val="18"/>
                <w:szCs w:val="18"/>
              </w:rPr>
              <w:t>2,600,675.53</w:t>
            </w:r>
          </w:p>
        </w:tc>
        <w:tc>
          <w:tcPr>
            <w:tcW w:w="87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r>
              <w:rPr>
                <w:rFonts w:hint="eastAsia" w:ascii="宋体" w:hAnsi="宋体" w:eastAsia="宋体" w:cs="宋体"/>
                <w:kern w:val="0"/>
                <w:sz w:val="18"/>
                <w:szCs w:val="18"/>
              </w:rPr>
              <w:t>1,100,701</w:t>
            </w:r>
          </w:p>
        </w:tc>
        <w:tc>
          <w:tcPr>
            <w:tcW w:w="688"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r>
              <w:rPr>
                <w:rFonts w:hint="eastAsia" w:ascii="宋体" w:hAnsi="宋体" w:eastAsia="宋体" w:cs="宋体"/>
                <w:kern w:val="0"/>
                <w:sz w:val="18"/>
                <w:szCs w:val="18"/>
              </w:rPr>
              <w:t>731,282</w:t>
            </w:r>
          </w:p>
        </w:tc>
        <w:tc>
          <w:tcPr>
            <w:tcW w:w="350"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324"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693"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center"/>
              <w:rPr>
                <w:rFonts w:hint="eastAsia" w:ascii="宋体" w:hAnsi="宋体" w:eastAsia="宋体" w:cs="宋体"/>
                <w:kern w:val="0"/>
                <w:sz w:val="18"/>
                <w:szCs w:val="18"/>
              </w:rPr>
            </w:pPr>
            <w:r>
              <w:rPr>
                <w:rFonts w:hint="eastAsia" w:ascii="宋体" w:hAnsi="宋体" w:eastAsia="宋体" w:cs="宋体"/>
                <w:kern w:val="0"/>
                <w:sz w:val="18"/>
                <w:szCs w:val="18"/>
              </w:rPr>
              <w:t>369,419</w:t>
            </w:r>
          </w:p>
        </w:tc>
        <w:tc>
          <w:tcPr>
            <w:tcW w:w="411"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439"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485" w:type="dxa"/>
            <w:gridSpan w:val="2"/>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698" w:type="dxa"/>
            <w:tcBorders>
              <w:top w:val="single" w:color="000000" w:sz="4" w:space="0"/>
              <w:left w:val="nil"/>
              <w:bottom w:val="single" w:color="000000" w:sz="4" w:space="0"/>
              <w:right w:val="single" w:color="000000" w:sz="4" w:space="0"/>
            </w:tcBorders>
            <w:shd w:val="clear" w:color="auto" w:fill="auto"/>
            <w:tcMar>
              <w:top w:w="15" w:type="dxa"/>
              <w:left w:w="15" w:type="dxa"/>
              <w:bottom w:w="15" w:type="dxa"/>
              <w:right w:w="15" w:type="dxa"/>
            </w:tcMar>
            <w:vAlign w:val="center"/>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18"/>
                <w:szCs w:val="18"/>
              </w:rPr>
            </w:pPr>
          </w:p>
        </w:tc>
        <w:tc>
          <w:tcPr>
            <w:tcW w:w="373"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0" w:hRule="atLeast"/>
          <w:jc w:val="center"/>
        </w:trPr>
        <w:tc>
          <w:tcPr>
            <w:tcW w:w="6790" w:type="dxa"/>
            <w:gridSpan w:val="12"/>
            <w:tcBorders>
              <w:top w:val="nil"/>
              <w:left w:val="nil"/>
              <w:bottom w:val="nil"/>
              <w:right w:val="nil"/>
            </w:tcBorders>
            <w:shd w:val="clear" w:color="auto" w:fill="auto"/>
            <w:tcMar>
              <w:top w:w="15" w:type="dxa"/>
              <w:left w:w="15" w:type="dxa"/>
              <w:bottom w:w="15" w:type="dxa"/>
              <w:right w:w="15" w:type="dxa"/>
            </w:tcMar>
            <w:vAlign w:val="bottom"/>
          </w:tcPr>
          <w:p>
            <w:pPr>
              <w:keepNext w:val="0"/>
              <w:keepLines w:val="0"/>
              <w:widowControl/>
              <w:suppressLineNumbers w:val="0"/>
              <w:spacing w:before="0" w:beforeAutospacing="1" w:after="0" w:afterAutospacing="1"/>
              <w:ind w:left="0" w:right="0"/>
              <w:jc w:val="right"/>
              <w:rPr>
                <w:rFonts w:hint="eastAsia" w:ascii="宋体" w:hAnsi="宋体" w:eastAsia="宋体" w:cs="宋体"/>
                <w:kern w:val="0"/>
                <w:sz w:val="24"/>
                <w:szCs w:val="24"/>
              </w:rPr>
            </w:pPr>
          </w:p>
        </w:tc>
        <w:tc>
          <w:tcPr>
            <w:tcW w:w="370" w:type="dxa"/>
            <w:tcBorders>
              <w:top w:val="nil"/>
              <w:left w:val="nil"/>
              <w:bottom w:val="nil"/>
              <w:right w:val="nil"/>
            </w:tcBorders>
            <w:shd w:val="clear" w:color="auto" w:fill="auto"/>
            <w:tcMar>
              <w:top w:w="15" w:type="dxa"/>
              <w:left w:w="15" w:type="dxa"/>
              <w:bottom w:w="15" w:type="dxa"/>
              <w:right w:w="15" w:type="dxa"/>
            </w:tcMar>
            <w:vAlign w:val="bottom"/>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p>
        </w:tc>
        <w:tc>
          <w:tcPr>
            <w:tcW w:w="824" w:type="dxa"/>
            <w:gridSpan w:val="2"/>
            <w:tcBorders>
              <w:top w:val="nil"/>
              <w:left w:val="nil"/>
              <w:bottom w:val="nil"/>
              <w:right w:val="nil"/>
            </w:tcBorders>
            <w:shd w:val="clear" w:color="auto" w:fill="auto"/>
            <w:tcMar>
              <w:top w:w="15" w:type="dxa"/>
              <w:left w:w="15" w:type="dxa"/>
              <w:bottom w:w="15" w:type="dxa"/>
              <w:right w:w="15" w:type="dxa"/>
            </w:tcMar>
            <w:vAlign w:val="bottom"/>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p>
        </w:tc>
        <w:tc>
          <w:tcPr>
            <w:tcW w:w="1250"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0" w:hRule="atLeast"/>
          <w:jc w:val="center"/>
        </w:trPr>
        <w:tc>
          <w:tcPr>
            <w:tcW w:w="7984" w:type="dxa"/>
            <w:gridSpan w:val="15"/>
            <w:tcBorders>
              <w:top w:val="nil"/>
              <w:left w:val="nil"/>
              <w:bottom w:val="nil"/>
              <w:right w:val="nil"/>
            </w:tcBorders>
            <w:shd w:val="clear" w:color="auto" w:fill="auto"/>
            <w:tcMar>
              <w:top w:w="15" w:type="dxa"/>
              <w:left w:w="15" w:type="dxa"/>
              <w:bottom w:w="15" w:type="dxa"/>
              <w:right w:w="15" w:type="dxa"/>
            </w:tcMar>
            <w:vAlign w:val="bottom"/>
          </w:tcPr>
          <w:p>
            <w:pPr>
              <w:keepNext w:val="0"/>
              <w:keepLines w:val="0"/>
              <w:widowControl/>
              <w:suppressLineNumbers w:val="0"/>
              <w:spacing w:before="0" w:beforeAutospacing="1" w:after="0" w:afterAutospacing="1"/>
              <w:ind w:left="0" w:right="0"/>
              <w:jc w:val="left"/>
              <w:rPr>
                <w:rFonts w:hint="default" w:ascii="仿宋_GB2312" w:hAnsi="宋体" w:eastAsia="仿宋_GB2312" w:cs="宋体"/>
                <w:kern w:val="0"/>
                <w:sz w:val="24"/>
                <w:szCs w:val="24"/>
              </w:rPr>
            </w:pPr>
            <w:r>
              <w:rPr>
                <w:rFonts w:hint="default" w:ascii="仿宋_GB2312" w:hAnsi="宋体" w:eastAsia="仿宋_GB2312" w:cs="宋体"/>
                <w:kern w:val="0"/>
                <w:sz w:val="24"/>
                <w:szCs w:val="24"/>
              </w:rPr>
              <w:t>填报说明：1.资产总额＝流动资产＋固定资产＋对外投资／有价证券＋在建工程＋无形资产＋其他资产2.固定资产＝房屋构筑物＋车辆＋单价200万元以上大型设备＋其他固定资产</w:t>
            </w:r>
          </w:p>
        </w:tc>
        <w:tc>
          <w:tcPr>
            <w:tcW w:w="1250" w:type="dxa"/>
            <w:gridSpan w:val="2"/>
            <w:tcBorders>
              <w:top w:val="nil"/>
              <w:left w:val="nil"/>
              <w:bottom w:val="nil"/>
              <w:right w:val="nil"/>
            </w:tcBorders>
            <w:shd w:val="clear" w:color="auto" w:fill="auto"/>
            <w:vAlign w:val="center"/>
          </w:tcPr>
          <w:p>
            <w:pPr>
              <w:keepNext w:val="0"/>
              <w:keepLines w:val="0"/>
              <w:widowControl/>
              <w:suppressLineNumbers w:val="0"/>
              <w:spacing w:before="0" w:beforeAutospacing="1" w:after="0" w:afterAutospacing="1"/>
              <w:ind w:left="0" w:right="0"/>
              <w:jc w:val="left"/>
              <w:rPr>
                <w:rFonts w:hint="eastAsia" w:ascii="宋体" w:hAnsi="宋体" w:eastAsia="宋体" w:cs="宋体"/>
                <w:kern w:val="0"/>
                <w:sz w:val="24"/>
                <w:szCs w:val="24"/>
              </w:rPr>
            </w:pPr>
            <w:r>
              <w:rPr>
                <w:rFonts w:hint="eastAsia" w:ascii="宋体" w:hAnsi="宋体" w:eastAsia="宋体" w:cs="宋体"/>
                <w:kern w:val="0"/>
                <w:sz w:val="24"/>
                <w:szCs w:val="24"/>
              </w:rPr>
              <w:t> </w:t>
            </w:r>
          </w:p>
        </w:tc>
      </w:tr>
    </w:tbl>
    <w:p>
      <w:pPr>
        <w:keepNext w:val="0"/>
        <w:keepLines w:val="0"/>
        <w:widowControl/>
        <w:suppressLineNumbers w:val="0"/>
        <w:adjustRightInd w:val="0"/>
        <w:spacing w:before="0" w:beforeAutospacing="0" w:after="0" w:afterAutospacing="1"/>
        <w:ind w:left="0" w:right="0" w:firstLine="60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三、政府采购支出情况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2019年度，部门政府采购支出总额</w:t>
      </w:r>
      <w:r>
        <w:rPr>
          <w:rFonts w:hint="eastAsia" w:ascii="宋体" w:hAnsi="宋体" w:eastAsia="宋体" w:cs="宋体"/>
          <w:color w:val="000000"/>
          <w:kern w:val="0"/>
          <w:sz w:val="24"/>
          <w:szCs w:val="24"/>
          <w:shd w:val="clear" w:fill="FFFFFF"/>
        </w:rPr>
        <w:t>14,160.00</w:t>
      </w:r>
      <w:r>
        <w:rPr>
          <w:rFonts w:hint="eastAsia" w:ascii="宋体" w:hAnsi="宋体" w:eastAsia="宋体" w:cs="宋体"/>
          <w:kern w:val="0"/>
          <w:sz w:val="24"/>
          <w:szCs w:val="24"/>
          <w:shd w:val="clear" w:fill="FFFFFF"/>
        </w:rPr>
        <w:t>元,其中：政府采购货物支出14,160.00元;政府采购工程支出0.00元;政府采购服务支出0.00元;授予中小企业合同金额14,160.00元，占政府采购支出总额的100.00%。</w:t>
      </w:r>
    </w:p>
    <w:p>
      <w:pPr>
        <w:keepNext w:val="0"/>
        <w:keepLines w:val="0"/>
        <w:widowControl/>
        <w:numPr>
          <w:ilvl w:val="0"/>
          <w:numId w:val="1"/>
        </w:numPr>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部门绩效自评情况</w:t>
      </w:r>
    </w:p>
    <w:p>
      <w:pPr>
        <w:keepNext w:val="0"/>
        <w:keepLines w:val="0"/>
        <w:widowControl/>
        <w:suppressLineNumbers w:val="0"/>
        <w:adjustRightInd w:val="0"/>
        <w:spacing w:before="0" w:beforeAutospacing="0" w:after="0" w:afterAutospacing="1" w:line="590" w:lineRule="exact"/>
        <w:ind w:left="0" w:right="0" w:rightChars="0" w:firstLine="480" w:firstLineChars="2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按预算绩效管理要求，开展了2019年部门整体支出绩效自评和项目支出绩效自评。部门整体支出自评为优，项目支出自评2个，评价金额12.67万元，其中，评价结果为优2个，良0个，中0个，差0个。部门绩效自评情况表详见附表（附表9-附表1</w:t>
      </w:r>
      <w:r>
        <w:rPr>
          <w:rFonts w:hint="eastAsia" w:cs="宋体"/>
          <w:kern w:val="0"/>
          <w:sz w:val="24"/>
          <w:szCs w:val="24"/>
          <w:shd w:val="clear" w:fill="FFFFFF"/>
          <w:lang w:val="en-US" w:eastAsia="zh-CN"/>
        </w:rPr>
        <w:t>2</w:t>
      </w:r>
      <w:r>
        <w:rPr>
          <w:rFonts w:hint="eastAsia" w:ascii="宋体" w:hAnsi="宋体" w:eastAsia="宋体" w:cs="宋体"/>
          <w:kern w:val="0"/>
          <w:sz w:val="24"/>
          <w:szCs w:val="24"/>
          <w:shd w:val="clear" w:fill="FFFFFF"/>
        </w:rPr>
        <w:t>）</w:t>
      </w:r>
    </w:p>
    <w:p>
      <w:pPr>
        <w:keepNext w:val="0"/>
        <w:keepLines w:val="0"/>
        <w:widowControl/>
        <w:suppressLineNumbers w:val="0"/>
        <w:adjustRightInd w:val="0"/>
        <w:spacing w:before="0" w:beforeAutospacing="0" w:after="0" w:afterAutospacing="1" w:line="590" w:lineRule="exact"/>
        <w:ind w:left="0" w:right="0" w:rightChars="0"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shd w:val="clear" w:fill="FFFFFF"/>
        </w:rPr>
        <w:t>五、其他重要事项情况说明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本单位无需要说明的情况。</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六、相关口径说明</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（一）基本支出中人员经费包括工资福利支出和对个人和家庭的补助，日常公用支出包括商品和服务支出、资本性支出等人员经费以外的支出。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（二）机关运行经费指行政单位和参照公务员法管理的事业单位使用一般公共预算财政拨款安排的基本支出中的日常公用经费支出。</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三）按照党中央、国务院有关文件及部门预算管理有关规定，“三公”经费包括因公出国（境）费、公务用车购置及运行维护费、公务接待费。其中：因公出国（境）费，指单位公务出国（境）的国际旅费、国外城市间交通费、住宿费、伙食费、培训费、公杂费等支出；公务用车购置费，指公务用车购置支出（含车辆购置税、牌照费）；公务用车运行维护费，指单位按规定保留的公务用车燃料费、维修费、过桥过路费、保险费、安全奖励费用等支出；公务用车指用于履行公务的机动车辆，包括省部级干部专车、一般公务用车和执法执勤用车；公务接待费，指单位按规定开支的各类公务接待（含外宾接待）费用。</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四）“三公”经费决算数：指各部门（含下属单位）当年通过本级财政一般公共预算财政拨款和以前年度一般公共预算财政拨款结转结余资金安排的因公出国（境）费、公务用车购置及运行维护费和公务接待费支出数（包括基本支出和项目支出）。</w:t>
      </w:r>
    </w:p>
    <w:p>
      <w:pPr>
        <w:keepNext w:val="0"/>
        <w:keepLines w:val="0"/>
        <w:widowControl/>
        <w:suppressLineNumbers w:val="0"/>
        <w:adjustRightInd w:val="0"/>
        <w:spacing w:before="0" w:beforeAutospacing="0" w:after="0" w:afterAutospacing="1" w:line="590" w:lineRule="exact"/>
        <w:ind w:left="0" w:right="0"/>
        <w:jc w:val="center"/>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第五部分  名词解释</w:t>
      </w:r>
    </w:p>
    <w:p>
      <w:pPr>
        <w:keepNext w:val="0"/>
        <w:keepLines w:val="0"/>
        <w:widowControl/>
        <w:suppressLineNumbers w:val="0"/>
        <w:adjustRightInd w:val="0"/>
        <w:spacing w:before="0" w:beforeAutospacing="0" w:after="0" w:afterAutospacing="1" w:line="590" w:lineRule="exact"/>
        <w:ind w:left="0" w:right="0" w:firstLine="60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情况说明里涉及到需要解释说明的决算相关专用名词，在此进行说明解释。若没有涉及专用名词，请说明不涉及专用名词。</w:t>
      </w:r>
    </w:p>
    <w:p>
      <w:pPr>
        <w:keepNext w:val="0"/>
        <w:keepLines w:val="0"/>
        <w:widowControl/>
        <w:suppressLineNumbers w:val="0"/>
        <w:spacing w:before="0" w:beforeAutospacing="0" w:after="0" w:afterAutospacing="1"/>
        <w:ind w:left="0" w:right="0"/>
        <w:jc w:val="left"/>
        <w:rPr>
          <w:rFonts w:hint="eastAsia" w:ascii="宋体" w:hAnsi="宋体" w:eastAsia="宋体" w:cs="宋体"/>
          <w:kern w:val="0"/>
          <w:sz w:val="24"/>
          <w:szCs w:val="24"/>
          <w:shd w:val="clear" w:fill="FFFFFF"/>
        </w:rPr>
      </w:pPr>
      <w:r>
        <w:rPr>
          <w:rFonts w:hint="eastAsia" w:ascii="宋体" w:hAnsi="宋体" w:eastAsia="宋体" w:cs="宋体"/>
          <w:kern w:val="0"/>
          <w:sz w:val="24"/>
          <w:szCs w:val="24"/>
          <w:shd w:val="clear" w:fill="FFFFFF"/>
        </w:rPr>
        <w:t xml:space="preserve"> </w:t>
      </w:r>
    </w:p>
    <w:p>
      <w:pPr>
        <w:jc w:val="cente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7E83EA"/>
    <w:multiLevelType w:val="multilevel"/>
    <w:tmpl w:val="5F7E83EA"/>
    <w:lvl w:ilvl="0" w:tentative="0">
      <w:start w:val="4"/>
      <w:numFmt w:val="chineseCounting"/>
      <w:suff w:val="nothing"/>
      <w:lvlText w:val="%1、"/>
      <w:lvlJc w:val="left"/>
      <w:pPr>
        <w:tabs>
          <w:tab w:val="left" w:pos="0"/>
        </w:tabs>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rPr>
        <w:rFonts w:hint="default" w:ascii="Times New Roman" w:hAnsi="Times New Roman" w:cs="Times New Roman"/>
      </w:rPr>
    </w:lvl>
    <w:lvl w:ilvl="2" w:tentative="0">
      <w:start w:val="1"/>
      <w:numFmt w:val="decimal"/>
      <w:lvlText w:val="%3."/>
      <w:lvlJc w:val="left"/>
      <w:pPr>
        <w:tabs>
          <w:tab w:val="left" w:pos="2160"/>
        </w:tabs>
        <w:ind w:left="2160" w:hanging="360"/>
      </w:pPr>
      <w:rPr>
        <w:rFonts w:hint="default" w:ascii="Times New Roman" w:hAnsi="Times New Roman" w:cs="Times New Roman"/>
      </w:rPr>
    </w:lvl>
    <w:lvl w:ilvl="3" w:tentative="0">
      <w:start w:val="1"/>
      <w:numFmt w:val="decimal"/>
      <w:lvlText w:val="%4."/>
      <w:lvlJc w:val="left"/>
      <w:pPr>
        <w:tabs>
          <w:tab w:val="left" w:pos="2880"/>
        </w:tabs>
        <w:ind w:left="2880" w:hanging="360"/>
      </w:pPr>
      <w:rPr>
        <w:rFonts w:hint="default" w:ascii="Times New Roman" w:hAnsi="Times New Roman" w:cs="Times New Roman"/>
      </w:rPr>
    </w:lvl>
    <w:lvl w:ilvl="4" w:tentative="0">
      <w:start w:val="1"/>
      <w:numFmt w:val="decimal"/>
      <w:lvlText w:val="%5."/>
      <w:lvlJc w:val="left"/>
      <w:pPr>
        <w:tabs>
          <w:tab w:val="left" w:pos="3600"/>
        </w:tabs>
        <w:ind w:left="3600" w:hanging="360"/>
      </w:pPr>
      <w:rPr>
        <w:rFonts w:hint="default" w:ascii="Times New Roman" w:hAnsi="Times New Roman" w:cs="Times New Roman"/>
      </w:rPr>
    </w:lvl>
    <w:lvl w:ilvl="5" w:tentative="0">
      <w:start w:val="1"/>
      <w:numFmt w:val="decimal"/>
      <w:lvlText w:val="%6."/>
      <w:lvlJc w:val="left"/>
      <w:pPr>
        <w:tabs>
          <w:tab w:val="left" w:pos="4320"/>
        </w:tabs>
        <w:ind w:left="4320" w:hanging="360"/>
      </w:pPr>
      <w:rPr>
        <w:rFonts w:hint="default" w:ascii="Times New Roman" w:hAnsi="Times New Roman" w:cs="Times New Roman"/>
      </w:rPr>
    </w:lvl>
    <w:lvl w:ilvl="6" w:tentative="0">
      <w:start w:val="1"/>
      <w:numFmt w:val="decimal"/>
      <w:lvlText w:val="%7."/>
      <w:lvlJc w:val="left"/>
      <w:pPr>
        <w:tabs>
          <w:tab w:val="left" w:pos="5040"/>
        </w:tabs>
        <w:ind w:left="5040" w:hanging="360"/>
      </w:pPr>
      <w:rPr>
        <w:rFonts w:hint="default" w:ascii="Times New Roman" w:hAnsi="Times New Roman" w:cs="Times New Roman"/>
      </w:rPr>
    </w:lvl>
    <w:lvl w:ilvl="7" w:tentative="0">
      <w:start w:val="1"/>
      <w:numFmt w:val="decimal"/>
      <w:lvlText w:val="%8."/>
      <w:lvlJc w:val="left"/>
      <w:pPr>
        <w:tabs>
          <w:tab w:val="left" w:pos="5760"/>
        </w:tabs>
        <w:ind w:left="5760" w:hanging="360"/>
      </w:pPr>
      <w:rPr>
        <w:rFonts w:hint="default" w:ascii="Times New Roman" w:hAnsi="Times New Roman" w:cs="Times New Roman"/>
      </w:rPr>
    </w:lvl>
    <w:lvl w:ilvl="8" w:tentative="0">
      <w:start w:val="1"/>
      <w:numFmt w:val="decimal"/>
      <w:lvlText w:val="%9."/>
      <w:lvlJc w:val="left"/>
      <w:pPr>
        <w:tabs>
          <w:tab w:val="left" w:pos="6480"/>
        </w:tabs>
        <w:ind w:left="6480" w:hanging="360"/>
      </w:pPr>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13575"/>
    <w:rsid w:val="04B240FD"/>
    <w:rsid w:val="051B514C"/>
    <w:rsid w:val="0A70747F"/>
    <w:rsid w:val="0CF23C9B"/>
    <w:rsid w:val="0D561E79"/>
    <w:rsid w:val="0D69041F"/>
    <w:rsid w:val="0F4847BD"/>
    <w:rsid w:val="15B03946"/>
    <w:rsid w:val="17AD70C9"/>
    <w:rsid w:val="1A113163"/>
    <w:rsid w:val="1AB51475"/>
    <w:rsid w:val="1B99119E"/>
    <w:rsid w:val="1C136950"/>
    <w:rsid w:val="1E8C7BF9"/>
    <w:rsid w:val="20463470"/>
    <w:rsid w:val="22183850"/>
    <w:rsid w:val="22AB44BF"/>
    <w:rsid w:val="2D303A93"/>
    <w:rsid w:val="36560994"/>
    <w:rsid w:val="37DB7016"/>
    <w:rsid w:val="37FE5E8A"/>
    <w:rsid w:val="3A5A3F5A"/>
    <w:rsid w:val="43134622"/>
    <w:rsid w:val="44E90BDD"/>
    <w:rsid w:val="475616B3"/>
    <w:rsid w:val="4A1C3F2E"/>
    <w:rsid w:val="4AEB23F8"/>
    <w:rsid w:val="50FD5E8A"/>
    <w:rsid w:val="598E2C2B"/>
    <w:rsid w:val="618F5C64"/>
    <w:rsid w:val="62447583"/>
    <w:rsid w:val="627128E9"/>
    <w:rsid w:val="65FF1295"/>
    <w:rsid w:val="6946764C"/>
    <w:rsid w:val="69DE1E0D"/>
    <w:rsid w:val="6A6A0C66"/>
    <w:rsid w:val="6BF97448"/>
    <w:rsid w:val="6F285ABF"/>
    <w:rsid w:val="70B04995"/>
    <w:rsid w:val="745814CC"/>
    <w:rsid w:val="750230D1"/>
    <w:rsid w:val="762351B5"/>
    <w:rsid w:val="7C3620AA"/>
    <w:rsid w:val="7D755378"/>
    <w:rsid w:val="7DC313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普通(网站) Char Char Char Char"/>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G:\&#22269;&#24198;&#33410;&#22238;&#21435;\&#20154;&#31038;&#23616;\2020&#24180;&#21200;&#20859;&#38215;&#31532;&#20108;&#25209;&#27700;&#27877;&#32489;&#25928;&#32479;&#35745;&#34920;(&#31532;&#20108;&#25209;400&#21544;&#65289;&#32454;&#2127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800" b="1">
                <a:solidFill>
                  <a:schemeClr val="tx1">
                    <a:lumMod val="65000"/>
                    <a:lumOff val="35000"/>
                  </a:schemeClr>
                </a:solidFill>
                <a:uFillTx/>
              </a:rPr>
              <a:t>景洪市就业劳动服务中心</a:t>
            </a:r>
            <a:r>
              <a:rPr lang="en-US" altLang="zh-CN" sz="1800" b="1">
                <a:solidFill>
                  <a:schemeClr val="tx1">
                    <a:lumMod val="65000"/>
                    <a:lumOff val="35000"/>
                  </a:schemeClr>
                </a:solidFill>
                <a:uFillTx/>
              </a:rPr>
              <a:t>2019</a:t>
            </a:r>
            <a:r>
              <a:rPr altLang="en-US" sz="1800" b="1">
                <a:solidFill>
                  <a:schemeClr val="tx1">
                    <a:lumMod val="65000"/>
                    <a:lumOff val="35000"/>
                  </a:schemeClr>
                </a:solidFill>
                <a:uFillTx/>
              </a:rPr>
              <a:t>年人员分配图</a:t>
            </a:r>
            <a:endParaRPr altLang="en-US" sz="1800" b="1">
              <a:solidFill>
                <a:schemeClr val="tx1">
                  <a:lumMod val="65000"/>
                  <a:lumOff val="35000"/>
                </a:schemeClr>
              </a:solidFill>
              <a:uFillTx/>
            </a:endParaRPr>
          </a:p>
        </c:rich>
      </c:tx>
      <c:layout>
        <c:manualLayout>
          <c:xMode val="edge"/>
          <c:yMode val="edge"/>
          <c:x val="0.108614232209738"/>
          <c:y val="0.0271888655122188"/>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0445074448803021"/>
                  <c:y val="0.0076739765727793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428407782868806"/>
                  <c:y val="-0.066007307280409"/>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6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'[2020年勐养镇第二批水泥绩效统计表(第二批400吨）细化.xlsx]Sheet1'!$A$3:$A$4</c:f>
              <c:strCache>
                <c:ptCount val="2"/>
                <c:pt idx="0">
                  <c:v>事业人员</c:v>
                </c:pt>
                <c:pt idx="1">
                  <c:v>其他人员</c:v>
                </c:pt>
              </c:strCache>
            </c:strRef>
          </c:cat>
          <c:val>
            <c:numRef>
              <c:f>'[2020年勐养镇第二批水泥绩效统计表(第二批400吨）细化.xlsx]Sheet1'!$B$3:$B$4</c:f>
              <c:numCache>
                <c:formatCode>General</c:formatCode>
                <c:ptCount val="2"/>
                <c:pt idx="0">
                  <c:v>13</c:v>
                </c:pt>
                <c:pt idx="1">
                  <c:v>10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800" b="1"/>
              <a:t>2018</a:t>
            </a:r>
            <a:r>
              <a:rPr altLang="en-US" sz="1800" b="1"/>
              <a:t>年与</a:t>
            </a:r>
            <a:r>
              <a:rPr lang="en-US" altLang="zh-CN" sz="1800" b="1"/>
              <a:t>2019</a:t>
            </a:r>
            <a:r>
              <a:rPr altLang="en-US" sz="1800" b="1"/>
              <a:t>年收入情况对比图</a:t>
            </a:r>
            <a:endParaRPr sz="1800" b="1"/>
          </a:p>
        </c:rich>
      </c:tx>
      <c:layout/>
      <c:overlay val="0"/>
      <c:spPr>
        <a:noFill/>
        <a:ln>
          <a:noFill/>
        </a:ln>
        <a:effectLst/>
      </c:spPr>
    </c:title>
    <c:autoTitleDeleted val="0"/>
    <c:plotArea>
      <c:layout/>
      <c:barChart>
        <c:barDir val="col"/>
        <c:grouping val="clustered"/>
        <c:varyColors val="0"/>
        <c:ser>
          <c:idx val="0"/>
          <c:order val="0"/>
          <c:tx>
            <c:strRef>
              <c:f>'[2020年勐养镇第二批水泥绩效统计表(第二批400吨）细化.xlsx]Sheet1'!$A$27</c:f>
              <c:strCache>
                <c:ptCount val="1"/>
                <c:pt idx="0">
                  <c:v>2018年</c:v>
                </c:pt>
              </c:strCache>
            </c:strRef>
          </c:tx>
          <c:spPr>
            <a:solidFill>
              <a:schemeClr val="accent1"/>
            </a:solidFill>
            <a:ln>
              <a:noFill/>
            </a:ln>
            <a:effectLst/>
          </c:spPr>
          <c:invertIfNegative val="0"/>
          <c:dLbls>
            <c:dLbl>
              <c:idx val="0"/>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15:layout>
                    <c:manualLayout>
                      <c:w val="0.211366963929189"/>
                      <c:h val="0.10885860306644"/>
                    </c:manualLayout>
                  </c15:layout>
                </c:ext>
              </c:extLst>
            </c:dLbl>
            <c:dLbl>
              <c:idx val="1"/>
              <c:layout>
                <c:manualLayout>
                  <c:x val="-0.0233333333333333"/>
                  <c:y val="-0.066666666666666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'[2020年勐养镇第二批水泥绩效统计表(第二批400吨）细化.xlsx]Sheet1'!$B$26:$C$26</c:f>
              <c:strCache>
                <c:ptCount val="2"/>
                <c:pt idx="0">
                  <c:v>财政补助收入</c:v>
                </c:pt>
                <c:pt idx="1">
                  <c:v>其他收入</c:v>
                </c:pt>
              </c:strCache>
            </c:strRef>
          </c:cat>
          <c:val>
            <c:numRef>
              <c:f>'[2020年勐养镇第二批水泥绩效统计表(第二批400吨）细化.xlsx]Sheet1'!$B$27:$C$27</c:f>
              <c:numCache>
                <c:formatCode>#,##0.00</c:formatCode>
                <c:ptCount val="2"/>
                <c:pt idx="0">
                  <c:v>28339806.17</c:v>
                </c:pt>
                <c:pt idx="1">
                  <c:v>231144.98</c:v>
                </c:pt>
              </c:numCache>
            </c:numRef>
          </c:val>
        </c:ser>
        <c:ser>
          <c:idx val="1"/>
          <c:order val="1"/>
          <c:tx>
            <c:strRef>
              <c:f>'[2020年勐养镇第二批水泥绩效统计表(第二批400吨）细化.xlsx]Sheet1'!$A$28</c:f>
              <c:strCache>
                <c:ptCount val="1"/>
                <c:pt idx="0">
                  <c:v>2019年</c:v>
                </c:pt>
              </c:strCache>
            </c:strRef>
          </c:tx>
          <c:spPr>
            <a:solidFill>
              <a:schemeClr val="accent2"/>
            </a:solidFill>
            <a:ln>
              <a:noFill/>
            </a:ln>
            <a:effectLst/>
          </c:spPr>
          <c:invertIfNegative val="0"/>
          <c:dLbls>
            <c:dLbl>
              <c:idx val="0"/>
              <c:layout/>
              <c:dLblPos val="outEnd"/>
              <c:showLegendKey val="0"/>
              <c:showVal val="1"/>
              <c:showCatName val="0"/>
              <c:showSerName val="0"/>
              <c:showPercent val="0"/>
              <c:showBubbleSize val="0"/>
              <c:extLst>
                <c:ext xmlns:c15="http://schemas.microsoft.com/office/drawing/2012/chart" uri="{CE6537A1-D6FC-4f65-9D91-7224C49458BB}">
                  <c15:layout>
                    <c:manualLayout>
                      <c:w val="0.226274457606815"/>
                      <c:h val="0.0969335604770017"/>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'[2020年勐养镇第二批水泥绩效统计表(第二批400吨）细化.xlsx]Sheet1'!$B$26:$C$26</c:f>
              <c:strCache>
                <c:ptCount val="2"/>
                <c:pt idx="0">
                  <c:v>财政补助收入</c:v>
                </c:pt>
                <c:pt idx="1">
                  <c:v>其他收入</c:v>
                </c:pt>
              </c:strCache>
            </c:strRef>
          </c:cat>
          <c:val>
            <c:numRef>
              <c:f>'[2020年勐养镇第二批水泥绩效统计表(第二批400吨）细化.xlsx]Sheet1'!$B$28:$C$28</c:f>
              <c:numCache>
                <c:formatCode>#,##0.00</c:formatCode>
                <c:ptCount val="2"/>
                <c:pt idx="0">
                  <c:v>43646960.18</c:v>
                </c:pt>
                <c:pt idx="1">
                  <c:v>124919.98</c:v>
                </c:pt>
              </c:numCache>
            </c:numRef>
          </c:val>
        </c:ser>
        <c:dLbls>
          <c:showLegendKey val="0"/>
          <c:showVal val="1"/>
          <c:showCatName val="0"/>
          <c:showSerName val="0"/>
          <c:showPercent val="0"/>
          <c:showBubbleSize val="0"/>
        </c:dLbls>
        <c:gapWidth val="219"/>
        <c:overlap val="-27"/>
        <c:axId val="975554494"/>
        <c:axId val="410928003"/>
      </c:barChart>
      <c:catAx>
        <c:axId val="97555449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crossAx val="410928003"/>
        <c:crosses val="autoZero"/>
        <c:auto val="1"/>
        <c:lblAlgn val="ctr"/>
        <c:lblOffset val="100"/>
        <c:noMultiLvlLbl val="0"/>
      </c:catAx>
      <c:valAx>
        <c:axId val="410928003"/>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75554494"/>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4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800" b="1"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r>
              <a:rPr lang="en-US" altLang="zh-CN" sz="1800" b="1" u="none" strike="noStrike" cap="none" normalizeH="0">
                <a:solidFill>
                  <a:schemeClr val="tx1">
                    <a:lumMod val="65000"/>
                    <a:lumOff val="35000"/>
                  </a:schemeClr>
                </a:solidFill>
                <a:uFill>
                  <a:solidFill>
                    <a:schemeClr val="tx1">
                      <a:lumMod val="65000"/>
                      <a:lumOff val="35000"/>
                    </a:schemeClr>
                  </a:solidFill>
                </a:uFill>
              </a:rPr>
              <a:t>2018</a:t>
            </a:r>
            <a:r>
              <a:rPr altLang="en-US" sz="1800" b="1" u="none" strike="noStrike" cap="none" normalizeH="0">
                <a:solidFill>
                  <a:schemeClr val="tx1">
                    <a:lumMod val="65000"/>
                    <a:lumOff val="35000"/>
                  </a:schemeClr>
                </a:solidFill>
                <a:uFill>
                  <a:solidFill>
                    <a:schemeClr val="tx1">
                      <a:lumMod val="65000"/>
                      <a:lumOff val="35000"/>
                    </a:schemeClr>
                  </a:solidFill>
                </a:uFill>
              </a:rPr>
              <a:t>年与</a:t>
            </a:r>
            <a:r>
              <a:rPr lang="en-US" altLang="zh-CN" sz="1800" b="1" u="none" strike="noStrike" cap="none" normalizeH="0">
                <a:solidFill>
                  <a:schemeClr val="tx1">
                    <a:lumMod val="65000"/>
                    <a:lumOff val="35000"/>
                  </a:schemeClr>
                </a:solidFill>
                <a:uFill>
                  <a:solidFill>
                    <a:schemeClr val="tx1">
                      <a:lumMod val="65000"/>
                      <a:lumOff val="35000"/>
                    </a:schemeClr>
                  </a:solidFill>
                </a:uFill>
              </a:rPr>
              <a:t>2019</a:t>
            </a:r>
            <a:r>
              <a:rPr altLang="en-US" sz="1800" b="1" u="none" strike="noStrike" cap="none" normalizeH="0">
                <a:solidFill>
                  <a:schemeClr val="tx1">
                    <a:lumMod val="65000"/>
                    <a:lumOff val="35000"/>
                  </a:schemeClr>
                </a:solidFill>
                <a:uFill>
                  <a:solidFill>
                    <a:schemeClr val="tx1">
                      <a:lumMod val="65000"/>
                      <a:lumOff val="35000"/>
                    </a:schemeClr>
                  </a:solidFill>
                </a:uFill>
              </a:rPr>
              <a:t>年支出情况对比图</a:t>
            </a:r>
            <a:endParaRPr lang="en-US" altLang="zh-CN" sz="1800" b="1" u="none" strike="noStrike" cap="none" normalizeH="0">
              <a:solidFill>
                <a:schemeClr val="tx1">
                  <a:lumMod val="65000"/>
                  <a:lumOff val="35000"/>
                </a:schemeClr>
              </a:solidFill>
              <a:uFill>
                <a:solidFill>
                  <a:schemeClr val="tx1">
                    <a:lumMod val="65000"/>
                    <a:lumOff val="35000"/>
                  </a:schemeClr>
                </a:solidFill>
              </a:uFill>
            </a:endParaRPr>
          </a:p>
        </c:rich>
      </c:tx>
      <c:layout>
        <c:manualLayout>
          <c:xMode val="edge"/>
          <c:yMode val="edge"/>
          <c:x val="0.213499763005868"/>
          <c:y val="0.0114207845733322"/>
        </c:manualLayout>
      </c:layout>
      <c:overlay val="0"/>
      <c:spPr>
        <a:noFill/>
        <a:ln>
          <a:noFill/>
        </a:ln>
        <a:effectLst/>
      </c:spPr>
    </c:title>
    <c:autoTitleDeleted val="0"/>
    <c:plotArea>
      <c:layout/>
      <c:barChart>
        <c:barDir val="col"/>
        <c:grouping val="clustered"/>
        <c:varyColors val="0"/>
        <c:ser>
          <c:idx val="0"/>
          <c:order val="0"/>
          <c:tx>
            <c:strRef>
              <c:f>'[2020年勐养镇第二批水泥绩效统计表(第二批400吨）细化.xlsx]Sheet1'!$A$53</c:f>
              <c:strCache>
                <c:ptCount val="1"/>
                <c:pt idx="0">
                  <c:v>2018年</c:v>
                </c:pt>
              </c:strCache>
            </c:strRef>
          </c:tx>
          <c:spPr>
            <a:solidFill>
              <a:schemeClr val="accent1"/>
            </a:solidFill>
            <a:ln>
              <a:noFill/>
            </a:ln>
            <a:effectLst/>
          </c:spPr>
          <c:invertIfNegative val="0"/>
          <c:dLbls>
            <c:dLbl>
              <c:idx val="0"/>
              <c:layout>
                <c:manualLayout>
                  <c:x val="-0.0296929479248678"/>
                  <c:y val="0.0019646365422396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17708605806958"/>
                  <c:y val="-0.00254755434782609"/>
                </c:manualLayout>
              </c:layout>
              <c:numFmt formatCode="General" sourceLinked="1"/>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15:layout>
                    <c:manualLayout>
                      <c:w val="0.223515563693434"/>
                      <c:h val="0.108525815217391"/>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'[2020年勐养镇第二批水泥绩效统计表(第二批400吨）细化.xlsx]Sheet1'!$B$52:$C$52</c:f>
              <c:strCache>
                <c:ptCount val="2"/>
                <c:pt idx="0">
                  <c:v>基本支出</c:v>
                </c:pt>
                <c:pt idx="1">
                  <c:v>项目支出</c:v>
                </c:pt>
              </c:strCache>
            </c:strRef>
          </c:cat>
          <c:val>
            <c:numRef>
              <c:f>'[2020年勐养镇第二批水泥绩效统计表(第二批400吨）细化.xlsx]Sheet1'!$B$53:$C$53</c:f>
              <c:numCache>
                <c:formatCode>#,##0.00</c:formatCode>
                <c:ptCount val="2"/>
                <c:pt idx="0">
                  <c:v>2895517.63</c:v>
                </c:pt>
                <c:pt idx="1">
                  <c:v>25702317.07</c:v>
                </c:pt>
              </c:numCache>
            </c:numRef>
          </c:val>
        </c:ser>
        <c:ser>
          <c:idx val="1"/>
          <c:order val="1"/>
          <c:tx>
            <c:strRef>
              <c:f>'[2020年勐养镇第二批水泥绩效统计表(第二批400吨）细化.xlsx]Sheet1'!$A$54</c:f>
              <c:strCache>
                <c:ptCount val="1"/>
                <c:pt idx="0">
                  <c:v>2019年</c:v>
                </c:pt>
              </c:strCache>
            </c:strRef>
          </c:tx>
          <c:spPr>
            <a:solidFill>
              <a:schemeClr val="accent2"/>
            </a:solidFill>
            <a:ln>
              <a:noFill/>
            </a:ln>
            <a:effectLst/>
          </c:spPr>
          <c:invertIfNegative val="0"/>
          <c:dLbls>
            <c:dLbl>
              <c:idx val="0"/>
              <c:layout>
                <c:manualLayout>
                  <c:x val="0.0202451917669553"/>
                  <c:y val="-0.0333988212180747"/>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defTabSz="914400">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r>
                      <a:rPr sz="1200" u="none" strike="noStrike" cap="none" normalizeH="0">
                        <a:solidFill>
                          <a:schemeClr val="tx1">
                            <a:lumMod val="75000"/>
                            <a:lumOff val="25000"/>
                          </a:schemeClr>
                        </a:solidFill>
                        <a:uFill>
                          <a:solidFill>
                            <a:schemeClr val="tx1">
                              <a:lumMod val="75000"/>
                              <a:lumOff val="25000"/>
                            </a:schemeClr>
                          </a:solidFill>
                        </a:uFill>
                      </a:rPr>
                      <a:t>38,552,650.93</a:t>
                    </a:r>
                    <a:endParaRPr sz="1200" u="none" strike="noStrike" cap="none" normalizeH="0">
                      <a:solidFill>
                        <a:schemeClr val="tx1">
                          <a:lumMod val="75000"/>
                          <a:lumOff val="25000"/>
                        </a:schemeClr>
                      </a:solidFill>
                      <a:uFill>
                        <a:solidFill>
                          <a:schemeClr val="tx1">
                            <a:lumMod val="75000"/>
                            <a:lumOff val="25000"/>
                          </a:schemeClr>
                        </a:solidFill>
                      </a:uFill>
                    </a:endParaRPr>
                  </a:p>
                </c:rich>
              </c:tx>
              <c:dLblPos val="outEnd"/>
              <c:showLegendKey val="0"/>
              <c:showVal val="1"/>
              <c:showCatName val="0"/>
              <c:showSerName val="0"/>
              <c:showPercent val="0"/>
              <c:showBubbleSize val="0"/>
              <c:extLst>
                <c:ext xmlns:c15="http://schemas.microsoft.com/office/drawing/2012/chart" uri="{CE6537A1-D6FC-4f65-9D91-7224C49458BB}">
                  <c15:layout>
                    <c:manualLayout>
                      <c:w val="0.200889353910541"/>
                      <c:h val="0.108525815217391"/>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'[2020年勐养镇第二批水泥绩效统计表(第二批400吨）细化.xlsx]Sheet1'!$B$52:$C$52</c:f>
              <c:strCache>
                <c:ptCount val="2"/>
                <c:pt idx="0">
                  <c:v>基本支出</c:v>
                </c:pt>
                <c:pt idx="1">
                  <c:v>项目支出</c:v>
                </c:pt>
              </c:strCache>
            </c:strRef>
          </c:cat>
          <c:val>
            <c:numRef>
              <c:f>'[2020年勐养镇第二批水泥绩效统计表(第二批400吨）细化.xlsx]Sheet1'!$B$54:$C$54</c:f>
              <c:numCache>
                <c:formatCode>#,##0.00</c:formatCode>
                <c:ptCount val="2"/>
                <c:pt idx="0">
                  <c:v>2986052.94</c:v>
                </c:pt>
                <c:pt idx="1">
                  <c:v>38552650.93</c:v>
                </c:pt>
              </c:numCache>
            </c:numRef>
          </c:val>
        </c:ser>
        <c:dLbls>
          <c:showLegendKey val="0"/>
          <c:showVal val="1"/>
          <c:showCatName val="0"/>
          <c:showSerName val="0"/>
          <c:showPercent val="0"/>
          <c:showBubbleSize val="0"/>
        </c:dLbls>
        <c:gapWidth val="219"/>
        <c:overlap val="-27"/>
        <c:axId val="447688399"/>
        <c:axId val="244683592"/>
      </c:barChart>
      <c:catAx>
        <c:axId val="447688399"/>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crossAx val="244683592"/>
        <c:crosses val="autoZero"/>
        <c:auto val="1"/>
        <c:lblAlgn val="ctr"/>
        <c:lblOffset val="100"/>
        <c:noMultiLvlLbl val="0"/>
      </c:catAx>
      <c:valAx>
        <c:axId val="244683592"/>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47688399"/>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800" b="1">
                <a:solidFill>
                  <a:schemeClr val="tx1">
                    <a:lumMod val="65000"/>
                    <a:lumOff val="35000"/>
                  </a:schemeClr>
                </a:solidFill>
                <a:uFillTx/>
              </a:rPr>
              <a:t>2018</a:t>
            </a:r>
            <a:r>
              <a:rPr altLang="en-US" sz="1800" b="1"/>
              <a:t>年与</a:t>
            </a:r>
            <a:r>
              <a:rPr lang="en-US" altLang="zh-CN" sz="1800" b="1"/>
              <a:t>2019</a:t>
            </a:r>
            <a:r>
              <a:rPr altLang="en-US" sz="1800" b="1"/>
              <a:t>年基本支出情况对比图</a:t>
            </a:r>
            <a:endParaRPr lang="en-US" altLang="zh-CN" sz="1800" b="1"/>
          </a:p>
        </c:rich>
      </c:tx>
      <c:layout/>
      <c:overlay val="0"/>
      <c:spPr>
        <a:noFill/>
        <a:ln>
          <a:noFill/>
        </a:ln>
        <a:effectLst/>
      </c:spPr>
    </c:title>
    <c:autoTitleDeleted val="0"/>
    <c:plotArea>
      <c:layout>
        <c:manualLayout>
          <c:layoutTarget val="inner"/>
          <c:xMode val="edge"/>
          <c:yMode val="edge"/>
          <c:x val="0.171055555555556"/>
          <c:y val="0.173611111111111"/>
          <c:w val="0.800055555555556"/>
          <c:h val="0.606805555555556"/>
        </c:manualLayout>
      </c:layout>
      <c:barChart>
        <c:barDir val="col"/>
        <c:grouping val="clustered"/>
        <c:varyColors val="0"/>
        <c:ser>
          <c:idx val="0"/>
          <c:order val="0"/>
          <c:tx>
            <c:strRef>
              <c:f>'[2020年勐养镇第二批水泥绩效统计表(第二批400吨）细化.xlsx]Sheet1'!$A$79</c:f>
              <c:strCache>
                <c:ptCount val="1"/>
                <c:pt idx="0">
                  <c:v>2018年</c:v>
                </c:pt>
              </c:strCache>
            </c:strRef>
          </c:tx>
          <c:spPr>
            <a:solidFill>
              <a:schemeClr val="accent1"/>
            </a:solidFill>
            <a:ln>
              <a:noFill/>
            </a:ln>
            <a:effectLst/>
          </c:spPr>
          <c:invertIfNegative val="0"/>
          <c:dLbls>
            <c:dLbl>
              <c:idx val="0"/>
              <c:layout>
                <c:manualLayout>
                  <c:x val="-0.00785340314136126"/>
                  <c:y val="0.026813337916809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70157068062827"/>
                  <c:y val="-0.068064627019594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'[2020年勐养镇第二批水泥绩效统计表(第二批400吨）细化.xlsx]Sheet1'!$B$78:$C$78</c:f>
              <c:strCache>
                <c:ptCount val="2"/>
                <c:pt idx="0">
                  <c:v>人员经费</c:v>
                </c:pt>
                <c:pt idx="1">
                  <c:v>日常公用经费</c:v>
                </c:pt>
              </c:strCache>
            </c:strRef>
          </c:cat>
          <c:val>
            <c:numRef>
              <c:f>'[2020年勐养镇第二批水泥绩效统计表(第二批400吨）细化.xlsx]Sheet1'!$B$79:$C$79</c:f>
              <c:numCache>
                <c:formatCode>#,##0.00</c:formatCode>
                <c:ptCount val="2"/>
                <c:pt idx="0">
                  <c:v>2685802.43</c:v>
                </c:pt>
                <c:pt idx="1">
                  <c:v>209715.2</c:v>
                </c:pt>
              </c:numCache>
            </c:numRef>
          </c:val>
        </c:ser>
        <c:ser>
          <c:idx val="1"/>
          <c:order val="1"/>
          <c:tx>
            <c:strRef>
              <c:f>'[2020年勐养镇第二批水泥绩效统计表(第二批400吨）细化.xlsx]Sheet1'!$A$80</c:f>
              <c:strCache>
                <c:ptCount val="1"/>
                <c:pt idx="0">
                  <c:v>2019年</c:v>
                </c:pt>
              </c:strCache>
            </c:strRef>
          </c:tx>
          <c:spPr>
            <a:solidFill>
              <a:schemeClr val="accent2"/>
            </a:solidFill>
            <a:ln>
              <a:noFill/>
            </a:ln>
            <a:effectLst/>
          </c:spPr>
          <c:invertIfNegative val="0"/>
          <c:dLbls>
            <c:dLbl>
              <c:idx val="0"/>
              <c:layout>
                <c:manualLayout>
                  <c:x val="0.0471204188481675"/>
                  <c:y val="0.11756617394293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'[2020年勐养镇第二批水泥绩效统计表(第二批400吨）细化.xlsx]Sheet1'!$B$78:$C$78</c:f>
              <c:strCache>
                <c:ptCount val="2"/>
                <c:pt idx="0">
                  <c:v>人员经费</c:v>
                </c:pt>
                <c:pt idx="1">
                  <c:v>日常公用经费</c:v>
                </c:pt>
              </c:strCache>
            </c:strRef>
          </c:cat>
          <c:val>
            <c:numRef>
              <c:f>'[2020年勐养镇第二批水泥绩效统计表(第二批400吨）细化.xlsx]Sheet1'!$B$80:$C$80</c:f>
              <c:numCache>
                <c:formatCode>#,##0.00</c:formatCode>
                <c:ptCount val="2"/>
                <c:pt idx="0">
                  <c:v>2785713.11</c:v>
                </c:pt>
                <c:pt idx="1">
                  <c:v>200339.83</c:v>
                </c:pt>
              </c:numCache>
            </c:numRef>
          </c:val>
        </c:ser>
        <c:dLbls>
          <c:showLegendKey val="0"/>
          <c:showVal val="1"/>
          <c:showCatName val="0"/>
          <c:showSerName val="0"/>
          <c:showPercent val="0"/>
          <c:showBubbleSize val="0"/>
        </c:dLbls>
        <c:gapWidth val="219"/>
        <c:overlap val="-27"/>
        <c:axId val="152667463"/>
        <c:axId val="995768657"/>
      </c:barChart>
      <c:catAx>
        <c:axId val="15266746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crossAx val="995768657"/>
        <c:crosses val="autoZero"/>
        <c:auto val="1"/>
        <c:lblAlgn val="ctr"/>
        <c:lblOffset val="100"/>
        <c:noMultiLvlLbl val="0"/>
      </c:catAx>
      <c:valAx>
        <c:axId val="995768657"/>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2667463"/>
        <c:crosses val="autoZero"/>
        <c:crossBetween val="between"/>
      </c:valAx>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800" b="1"/>
              <a:t>2018</a:t>
            </a:r>
            <a:r>
              <a:rPr altLang="en-US" sz="1800" b="1"/>
              <a:t>年与</a:t>
            </a:r>
            <a:r>
              <a:rPr lang="en-US" altLang="zh-CN" sz="1800" b="1"/>
              <a:t>2019</a:t>
            </a:r>
            <a:r>
              <a:rPr altLang="en-US" sz="1800" b="1"/>
              <a:t>年项目支出情况对比图</a:t>
            </a:r>
            <a:endParaRPr sz="1800" b="1"/>
          </a:p>
        </c:rich>
      </c:tx>
      <c:layout/>
      <c:overlay val="0"/>
      <c:spPr>
        <a:noFill/>
        <a:ln>
          <a:noFill/>
        </a:ln>
        <a:effectLst/>
      </c:spPr>
    </c:title>
    <c:autoTitleDeleted val="0"/>
    <c:plotArea>
      <c:layout/>
      <c:pieChart>
        <c:varyColors val="1"/>
        <c:ser>
          <c:idx val="0"/>
          <c:order val="0"/>
          <c:tx>
            <c:strRef>
              <c:f>'[2020年勐养镇第二批水泥绩效统计表(第二批400吨）细化.xlsx]Sheet1'!$B$106</c:f>
              <c:strCache>
                <c:ptCount val="1"/>
                <c:pt idx="0">
                  <c:v>项目支出</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112585497765008"/>
                  <c:y val="0.0700388941205735"/>
                </c:manualLayout>
              </c:layout>
              <c:dLblPos val="bestFit"/>
              <c:showLegendKey val="0"/>
              <c:showVal val="1"/>
              <c:showCatName val="0"/>
              <c:showSerName val="0"/>
              <c:showPercent val="0"/>
              <c:showBubbleSize val="0"/>
              <c:extLst>
                <c:ext xmlns:c15="http://schemas.microsoft.com/office/drawing/2012/chart" uri="{CE6537A1-D6FC-4f65-9D91-7224C49458BB}">
                  <c15:layout>
                    <c:manualLayout>
                      <c:w val="0.218898518311434"/>
                      <c:h val="0.118817404239494"/>
                    </c:manualLayout>
                  </c15:layout>
                </c:ext>
              </c:extLst>
            </c:dLbl>
            <c:dLbl>
              <c:idx val="1"/>
              <c:layout>
                <c:manualLayout>
                  <c:x val="0.0498041624143841"/>
                  <c:y val="-0.1862615755399"/>
                </c:manualLayout>
              </c:layout>
              <c:dLblPos val="bestFit"/>
              <c:showLegendKey val="0"/>
              <c:showVal val="1"/>
              <c:showCatName val="0"/>
              <c:showSerName val="0"/>
              <c:showPercent val="0"/>
              <c:showBubbleSize val="0"/>
              <c:extLst>
                <c:ext xmlns:c15="http://schemas.microsoft.com/office/drawing/2012/chart" uri="{CE6537A1-D6FC-4f65-9D91-7224C49458BB}">
                  <c15:layout>
                    <c:manualLayout>
                      <c:w val="0.220156555772994"/>
                      <c:h val="0.118817404239494"/>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'[2020年勐养镇第二批水泥绩效统计表(第二批400吨）细化.xlsx]Sheet1'!$A$107:$A$108</c:f>
              <c:strCache>
                <c:ptCount val="2"/>
                <c:pt idx="0">
                  <c:v>2018年</c:v>
                </c:pt>
                <c:pt idx="1">
                  <c:v>2019年</c:v>
                </c:pt>
              </c:strCache>
            </c:strRef>
          </c:cat>
          <c:val>
            <c:numRef>
              <c:f>'[2020年勐养镇第二批水泥绩效统计表(第二批400吨）细化.xlsx]Sheet1'!$B$107:$B$108</c:f>
              <c:numCache>
                <c:formatCode>#,##0.00</c:formatCode>
                <c:ptCount val="2"/>
                <c:pt idx="0">
                  <c:v>25702317.07</c:v>
                </c:pt>
                <c:pt idx="1">
                  <c:v>38552650.93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egendEntry>
        <c:idx val="0"/>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600" b="1"/>
              <a:t>2019</a:t>
            </a:r>
            <a:r>
              <a:rPr altLang="en-US" sz="1600" b="1"/>
              <a:t>年一般公共预算财政拨款支出情况</a:t>
            </a:r>
            <a:endParaRPr altLang="en-US" sz="1600" b="1"/>
          </a:p>
        </c:rich>
      </c:tx>
      <c:layout>
        <c:manualLayout>
          <c:xMode val="edge"/>
          <c:yMode val="edge"/>
          <c:x val="0.140929326655537"/>
          <c:y val="0.0456730769230769"/>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dLbl>
              <c:idx val="0"/>
              <c:layout>
                <c:manualLayout>
                  <c:x val="0.0229549248747913"/>
                  <c:y val="0.0929487179487179"/>
                </c:manualLayout>
              </c:layout>
              <c:dLblPos val="outEnd"/>
              <c:showLegendKey val="0"/>
              <c:showVal val="1"/>
              <c:showCatName val="0"/>
              <c:showSerName val="0"/>
              <c:showPercent val="0"/>
              <c:showBubbleSize val="0"/>
              <c:extLst>
                <c:ext xmlns:c15="http://schemas.microsoft.com/office/drawing/2012/chart" uri="{CE6537A1-D6FC-4f65-9D91-7224C49458BB}">
                  <c15:layout>
                    <c:manualLayout>
                      <c:w val="0.21661101836394"/>
                      <c:h val="0.136538461538462"/>
                    </c:manualLayout>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cap="none" spc="0" normalizeH="0" baseline="0">
                    <a:solidFill>
                      <a:schemeClr val="tx1">
                        <a:lumMod val="75000"/>
                        <a:lumOff val="25000"/>
                      </a:schemeClr>
                    </a:solidFill>
                    <a:uFill>
                      <a:solidFill>
                        <a:schemeClr val="tx1">
                          <a:lumMod val="75000"/>
                          <a:lumOff val="25000"/>
                        </a:schemeClr>
                      </a:solidFill>
                    </a:u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'[2020年勐养镇第二批水泥绩效统计表(第二批400吨）细化.xlsx]Sheet1'!$A$125:$A$128</c:f>
              <c:strCache>
                <c:ptCount val="4"/>
                <c:pt idx="0">
                  <c:v>社会保障和就业（类）支出</c:v>
                </c:pt>
                <c:pt idx="1">
                  <c:v>卫生健康（类）支出</c:v>
                </c:pt>
                <c:pt idx="2">
                  <c:v>农林水（类）支出</c:v>
                </c:pt>
                <c:pt idx="3">
                  <c:v>住房保障（类）支出</c:v>
                </c:pt>
              </c:strCache>
            </c:strRef>
          </c:cat>
          <c:val>
            <c:numRef>
              <c:f>'[2020年勐养镇第二批水泥绩效统计表(第二批400吨）细化.xlsx]Sheet1'!$B$125:$B$128</c:f>
              <c:numCache>
                <c:formatCode>#,##0.00</c:formatCode>
                <c:ptCount val="4"/>
                <c:pt idx="0">
                  <c:v>41086514.77</c:v>
                </c:pt>
                <c:pt idx="1">
                  <c:v>165540.45</c:v>
                </c:pt>
                <c:pt idx="2">
                  <c:v>20000</c:v>
                </c:pt>
                <c:pt idx="3">
                  <c:v>135413</c:v>
                </c:pt>
              </c:numCache>
            </c:numRef>
          </c:val>
        </c:ser>
        <c:dLbls>
          <c:showLegendKey val="0"/>
          <c:showVal val="1"/>
          <c:showCatName val="0"/>
          <c:showSerName val="0"/>
          <c:showPercent val="0"/>
          <c:showBubbleSize val="0"/>
        </c:dLbls>
        <c:gapWidth val="219"/>
        <c:overlap val="-27"/>
        <c:axId val="689505975"/>
        <c:axId val="452832649"/>
      </c:barChart>
      <c:catAx>
        <c:axId val="68950597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000" b="0" i="0" u="none" strike="noStrike" kern="1200" cap="none" spc="0" normalizeH="0" baseline="0">
                <a:solidFill>
                  <a:schemeClr val="tx1">
                    <a:lumMod val="65000"/>
                    <a:lumOff val="35000"/>
                  </a:schemeClr>
                </a:solidFill>
                <a:uFill>
                  <a:solidFill>
                    <a:schemeClr val="tx1">
                      <a:lumMod val="65000"/>
                      <a:lumOff val="35000"/>
                    </a:schemeClr>
                  </a:solidFill>
                </a:uFill>
                <a:latin typeface="+mn-lt"/>
                <a:ea typeface="+mn-ea"/>
                <a:cs typeface="+mn-cs"/>
              </a:defRPr>
            </a:pPr>
          </a:p>
        </c:txPr>
        <c:crossAx val="452832649"/>
        <c:crosses val="autoZero"/>
        <c:auto val="1"/>
        <c:lblAlgn val="ctr"/>
        <c:lblOffset val="100"/>
        <c:noMultiLvlLbl val="0"/>
      </c:catAx>
      <c:valAx>
        <c:axId val="452832649"/>
        <c:scaling>
          <c:orientation val="minMax"/>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95059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2020-10-08T07:53:37Z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